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D654">
      <w:pPr>
        <w:pStyle w:val="10"/>
        <w:rPr>
          <w:rFonts w:cstheme="minorHAnsi"/>
          <w:b/>
        </w:rPr>
      </w:pPr>
      <w:r>
        <w:rPr>
          <w:rFonts w:cstheme="minorHAnsi"/>
          <w:b/>
        </w:rPr>
        <w:t>KULTURNO  INFORMATIVNI CENTAR</w:t>
      </w:r>
    </w:p>
    <w:p w14:paraId="4F6D4701">
      <w:pPr>
        <w:pStyle w:val="10"/>
        <w:rPr>
          <w:rFonts w:cstheme="minorHAnsi"/>
          <w:b/>
        </w:rPr>
      </w:pPr>
      <w:r>
        <w:rPr>
          <w:rFonts w:cstheme="minorHAnsi"/>
          <w:b/>
        </w:rPr>
        <w:t>Gospić, javna ustanova za kulturu</w:t>
      </w:r>
      <w:r>
        <w:rPr>
          <w:rFonts w:cstheme="minorHAnsi"/>
        </w:rPr>
        <w:br w:type="textWrapping"/>
      </w:r>
      <w:r>
        <w:rPr>
          <w:rFonts w:cstheme="minorHAnsi"/>
        </w:rPr>
        <w:t>Budačka 12,</w:t>
      </w:r>
    </w:p>
    <w:p w14:paraId="2E49E02F">
      <w:pPr>
        <w:pStyle w:val="10"/>
        <w:tabs>
          <w:tab w:val="left" w:pos="2220"/>
        </w:tabs>
        <w:rPr>
          <w:rFonts w:cstheme="minorHAnsi"/>
        </w:rPr>
      </w:pPr>
      <w:r>
        <w:rPr>
          <w:rFonts w:cstheme="minorHAnsi"/>
        </w:rPr>
        <w:t>53000 Gospić</w:t>
      </w:r>
      <w:r>
        <w:rPr>
          <w:rFonts w:cstheme="minorHAnsi"/>
        </w:rPr>
        <w:tab/>
      </w:r>
    </w:p>
    <w:p w14:paraId="632A3759">
      <w:pPr>
        <w:pStyle w:val="10"/>
        <w:rPr>
          <w:rFonts w:cstheme="minorHAnsi"/>
        </w:rPr>
      </w:pPr>
      <w:r>
        <w:rPr>
          <w:rFonts w:cstheme="minorHAnsi"/>
        </w:rPr>
        <w:t>tel/fax: 053/ 658 – 975</w:t>
      </w:r>
    </w:p>
    <w:p w14:paraId="659A4E16">
      <w:pPr>
        <w:pStyle w:val="10"/>
        <w:rPr>
          <w:rFonts w:cstheme="minorHAnsi"/>
        </w:rPr>
      </w:pPr>
      <w:r>
        <w:rPr>
          <w:rFonts w:cstheme="minorHAnsi"/>
        </w:rPr>
        <w:t xml:space="preserve">e- mail: </w:t>
      </w:r>
      <w:r>
        <w:fldChar w:fldCharType="begin"/>
      </w:r>
      <w:r>
        <w:instrText xml:space="preserve"> HYPERLINK "mailto:kic-gospic@kic-gospic.eu" </w:instrText>
      </w:r>
      <w:r>
        <w:fldChar w:fldCharType="separate"/>
      </w:r>
      <w:r>
        <w:rPr>
          <w:rStyle w:val="7"/>
          <w:rFonts w:cstheme="minorHAnsi"/>
        </w:rPr>
        <w:t>kic-gospic@kic-gospic.eu</w:t>
      </w:r>
      <w:r>
        <w:rPr>
          <w:rStyle w:val="7"/>
          <w:rFonts w:cstheme="minorHAnsi"/>
        </w:rPr>
        <w:fldChar w:fldCharType="end"/>
      </w:r>
    </w:p>
    <w:p w14:paraId="6BB28C63">
      <w:pPr>
        <w:pStyle w:val="10"/>
        <w:rPr>
          <w:rFonts w:cstheme="minorHAnsi"/>
        </w:rPr>
      </w:pPr>
      <w:r>
        <w:rPr>
          <w:rFonts w:cstheme="minorHAnsi"/>
        </w:rPr>
        <w:t xml:space="preserve">             </w:t>
      </w:r>
      <w:r>
        <w:fldChar w:fldCharType="begin"/>
      </w:r>
      <w:r>
        <w:instrText xml:space="preserve"> HYPERLINK "mailto:ravnateljica@kic-gospic.eu" </w:instrText>
      </w:r>
      <w:r>
        <w:fldChar w:fldCharType="separate"/>
      </w:r>
      <w:r>
        <w:rPr>
          <w:rStyle w:val="7"/>
          <w:rFonts w:cstheme="minorHAnsi"/>
        </w:rPr>
        <w:t>ravnateljica@kic-gospic.eu</w:t>
      </w:r>
      <w:r>
        <w:rPr>
          <w:rStyle w:val="7"/>
          <w:rFonts w:cstheme="minorHAnsi"/>
        </w:rPr>
        <w:fldChar w:fldCharType="end"/>
      </w:r>
    </w:p>
    <w:p w14:paraId="3BC0AF78">
      <w:pPr>
        <w:pStyle w:val="10"/>
        <w:rPr>
          <w:rFonts w:cstheme="minorHAnsi"/>
        </w:rPr>
      </w:pPr>
    </w:p>
    <w:p w14:paraId="6A187205">
      <w:pPr>
        <w:spacing w:after="0" w:line="240" w:lineRule="auto"/>
        <w:rPr>
          <w:rFonts w:cstheme="minorHAnsi"/>
        </w:rPr>
      </w:pPr>
      <w:r>
        <w:rPr>
          <w:rFonts w:cstheme="minorHAnsi"/>
        </w:rPr>
        <w:t>KLASA: 400-01/26-01/01</w:t>
      </w:r>
    </w:p>
    <w:p w14:paraId="46DB2B71">
      <w:pPr>
        <w:spacing w:after="0" w:line="240" w:lineRule="auto"/>
        <w:rPr>
          <w:rFonts w:cstheme="minorHAnsi"/>
        </w:rPr>
      </w:pPr>
      <w:r>
        <w:rPr>
          <w:rFonts w:cstheme="minorHAnsi"/>
        </w:rPr>
        <w:t>URBROJ: 2125-1-22-26-01</w:t>
      </w:r>
    </w:p>
    <w:p w14:paraId="611E7108">
      <w:pPr>
        <w:spacing w:after="0" w:line="240" w:lineRule="auto"/>
        <w:rPr>
          <w:rFonts w:cstheme="minorHAnsi"/>
        </w:rPr>
      </w:pPr>
    </w:p>
    <w:p w14:paraId="67E317B8">
      <w:pPr>
        <w:spacing w:after="0"/>
        <w:rPr>
          <w:rFonts w:cstheme="minorHAnsi"/>
        </w:rPr>
      </w:pPr>
      <w:r>
        <w:rPr>
          <w:rFonts w:cstheme="minorHAnsi"/>
        </w:rPr>
        <w:t>Gospić, 17.02.2026.</w:t>
      </w:r>
    </w:p>
    <w:p w14:paraId="0E11E98E">
      <w:pPr>
        <w:spacing w:after="0"/>
        <w:rPr>
          <w:rFonts w:cstheme="minorHAnsi"/>
        </w:rPr>
      </w:pPr>
    </w:p>
    <w:p w14:paraId="60399BCA">
      <w:pPr>
        <w:spacing w:after="0"/>
        <w:rPr>
          <w:rFonts w:cstheme="minorHAnsi"/>
        </w:rPr>
      </w:pPr>
    </w:p>
    <w:p w14:paraId="1D1A7EDC">
      <w:pPr>
        <w:rPr>
          <w:rFonts w:cstheme="minorHAnsi"/>
        </w:rPr>
      </w:pPr>
    </w:p>
    <w:p w14:paraId="1C8175AC">
      <w:pPr>
        <w:jc w:val="center"/>
        <w:rPr>
          <w:rFonts w:cstheme="minorHAnsi"/>
          <w:b/>
        </w:rPr>
      </w:pPr>
      <w:r>
        <w:rPr>
          <w:rFonts w:cstheme="minorHAnsi"/>
          <w:b/>
        </w:rPr>
        <w:t>OBRAZLOŽENJE IZVJEŠTAJA O IZVRŠENJU FINANCIJSKOG PLANA ZA RAZDOBLJE 01.01.2025. – 31.12.2025. GODINU</w:t>
      </w:r>
    </w:p>
    <w:p w14:paraId="6C6623A7">
      <w:pPr>
        <w:jc w:val="center"/>
        <w:rPr>
          <w:rFonts w:cstheme="minorHAnsi"/>
          <w:b/>
        </w:rPr>
      </w:pPr>
    </w:p>
    <w:p w14:paraId="6EF677BA">
      <w:pPr>
        <w:pStyle w:val="10"/>
        <w:numPr>
          <w:ilvl w:val="0"/>
          <w:numId w:val="1"/>
        </w:numPr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UVOD</w:t>
      </w:r>
    </w:p>
    <w:p w14:paraId="28F669A3">
      <w:pPr>
        <w:pStyle w:val="10"/>
        <w:spacing w:line="360" w:lineRule="auto"/>
        <w:ind w:left="720"/>
        <w:rPr>
          <w:rFonts w:cstheme="minorHAnsi"/>
          <w:b/>
          <w:u w:val="single"/>
        </w:rPr>
      </w:pPr>
    </w:p>
    <w:p w14:paraId="79116480">
      <w:pPr>
        <w:pStyle w:val="10"/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Zakonom o proračunu  ( NN br. 144/24 ) propisana je obveza sastavljanja polugodišnjeg i godišnjeg izvještaja o izvršenju proračuna te njegova podnošenja na donošenje predstavničkom tijelu .</w:t>
      </w:r>
    </w:p>
    <w:p w14:paraId="536528E0">
      <w:pPr>
        <w:pStyle w:val="10"/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Na temelju članka 76. stavka 3. Zakona o proračunu ( NN. Br. 144/21 ) donesen je pravilnik o polugodišnjem i godišnjem izvještaju o izvršenju proračuna i financijskog plana    ( NN br 85/2023) u skladu s kojim je izrađen godišnji izvještaj o izvršenju financijskog plana Kulturno Informativnog Centra Gospić, javna ustanova za kulturu za 2025. godinu.</w:t>
      </w:r>
    </w:p>
    <w:p w14:paraId="27502C79">
      <w:pPr>
        <w:pStyle w:val="10"/>
        <w:spacing w:line="360" w:lineRule="auto"/>
        <w:rPr>
          <w:rFonts w:cstheme="minorHAnsi"/>
          <w:bCs/>
        </w:rPr>
      </w:pPr>
    </w:p>
    <w:p w14:paraId="7F74FD74">
      <w:pPr>
        <w:pStyle w:val="10"/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Sukladno odredbama članka 168. Zakona o proračunu </w:t>
      </w:r>
      <w:bookmarkStart w:id="0" w:name="_Hlk224125969"/>
      <w:r>
        <w:rPr>
          <w:rFonts w:cstheme="minorHAnsi"/>
          <w:bCs/>
        </w:rPr>
        <w:t>( NN br. 144/21</w:t>
      </w:r>
      <w:bookmarkEnd w:id="0"/>
      <w:r>
        <w:rPr>
          <w:rFonts w:cstheme="minorHAnsi"/>
          <w:bCs/>
        </w:rPr>
        <w:t xml:space="preserve"> ) i Pravilnika o polugodišnjem i godišnjem izvještaju o izvršenju proračuna ( NN.br. 85/23 ) propisan je sadržaj polugodišnjeg izvještaja o izvršenju proračuna koji sadrži:</w:t>
      </w:r>
    </w:p>
    <w:p w14:paraId="6487B623">
      <w:pPr>
        <w:suppressAutoHyphens/>
        <w:autoSpaceDN w:val="0"/>
        <w:spacing w:after="0"/>
        <w:textAlignment w:val="baseline"/>
        <w:rPr>
          <w:rFonts w:cstheme="minorHAnsi"/>
          <w:b/>
        </w:rPr>
      </w:pPr>
    </w:p>
    <w:p w14:paraId="0DF404EE">
      <w:pPr>
        <w:suppressAutoHyphens/>
        <w:autoSpaceDN w:val="0"/>
        <w:spacing w:after="0"/>
        <w:textAlignment w:val="baseline"/>
        <w:rPr>
          <w:rFonts w:cstheme="minorHAnsi"/>
          <w:b/>
        </w:rPr>
      </w:pPr>
    </w:p>
    <w:p w14:paraId="75B8BB28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</w:p>
    <w:p w14:paraId="1528564A">
      <w:pPr>
        <w:pStyle w:val="11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OPĆI DIO , </w:t>
      </w:r>
      <w:r>
        <w:rPr>
          <w:rFonts w:cstheme="minorHAnsi"/>
          <w:bCs/>
          <w:u w:val="single"/>
        </w:rPr>
        <w:t>koji sadrži</w:t>
      </w:r>
    </w:p>
    <w:p w14:paraId="6D518A7E">
      <w:pPr>
        <w:pStyle w:val="11"/>
        <w:suppressAutoHyphens/>
        <w:autoSpaceDN w:val="0"/>
        <w:spacing w:after="0"/>
        <w:ind w:left="1080"/>
        <w:textAlignment w:val="baseline"/>
        <w:rPr>
          <w:rFonts w:cstheme="minorHAnsi"/>
          <w:b/>
          <w:u w:val="single"/>
        </w:rPr>
      </w:pPr>
    </w:p>
    <w:p w14:paraId="2B098E20">
      <w:pPr>
        <w:pStyle w:val="11"/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Sažetak Računa prihoda i rashoda i Računa financiranja</w:t>
      </w:r>
    </w:p>
    <w:p w14:paraId="5452AC7D">
      <w:pPr>
        <w:pStyle w:val="11"/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</w:p>
    <w:p w14:paraId="04456B37">
      <w:pPr>
        <w:pStyle w:val="11"/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Sadrži prikaz ukupno ostvarenih prihoda primitaka te izvršenih rashoda i izdataka na razini razreda ekonomske klasifikacije te razliku između ukupno ostvarenih prihoda i rashoda te primitaka i izdataka. Osim toga sadrži i podatak o prijenosu sredstava iz prethodne godine i prijenosu u sljedeću godinu odnosno podatke o prenesenom višku / manjku iz prethodne godine u sljedeću poslovnu godinu.</w:t>
      </w:r>
    </w:p>
    <w:p w14:paraId="3B5A0F6D">
      <w:pPr>
        <w:pStyle w:val="11"/>
        <w:suppressAutoHyphens/>
        <w:autoSpaceDN w:val="0"/>
        <w:spacing w:after="0"/>
        <w:textAlignment w:val="baseline"/>
        <w:rPr>
          <w:rFonts w:cstheme="minorHAnsi"/>
          <w:bCs/>
        </w:rPr>
      </w:pPr>
    </w:p>
    <w:p w14:paraId="0F94AA38">
      <w:pPr>
        <w:pStyle w:val="11"/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Račun prihoda i rashoda </w:t>
      </w:r>
    </w:p>
    <w:p w14:paraId="5130C454">
      <w:pPr>
        <w:pStyle w:val="11"/>
        <w:numPr>
          <w:ilvl w:val="0"/>
          <w:numId w:val="3"/>
        </w:num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Sastoji se od prihoda i rashoda iskazanih prema izvorima financiranja i ekonomskoj klasifikaciji te rashodima iskazanim prema funkcijskoj klasifikaciji</w:t>
      </w:r>
    </w:p>
    <w:p w14:paraId="68074290">
      <w:pPr>
        <w:pStyle w:val="11"/>
        <w:suppressAutoHyphens/>
        <w:autoSpaceDN w:val="0"/>
        <w:spacing w:after="0"/>
        <w:ind w:left="1080"/>
        <w:textAlignment w:val="baseline"/>
        <w:rPr>
          <w:rFonts w:cstheme="minorHAnsi"/>
          <w:bCs/>
          <w:u w:val="single"/>
        </w:rPr>
      </w:pPr>
    </w:p>
    <w:p w14:paraId="4B44D0D1">
      <w:pPr>
        <w:suppressAutoHyphens/>
        <w:autoSpaceDN w:val="0"/>
        <w:spacing w:after="0"/>
        <w:ind w:left="72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Račun financiranja </w:t>
      </w:r>
    </w:p>
    <w:p w14:paraId="1AC35E9A">
      <w:pPr>
        <w:pStyle w:val="11"/>
        <w:numPr>
          <w:ilvl w:val="0"/>
          <w:numId w:val="3"/>
        </w:num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Iskazuju se primici od financijske imovine i zaduživanja te izdaci za financijsku imovinu i otplate instrumenata zaduživanja prema izvorima financiranja i ekonomskoj klasifikaciji.</w:t>
      </w:r>
    </w:p>
    <w:p w14:paraId="75689716">
      <w:pPr>
        <w:pStyle w:val="11"/>
        <w:suppressAutoHyphens/>
        <w:autoSpaceDN w:val="0"/>
        <w:spacing w:after="0"/>
        <w:ind w:left="1080"/>
        <w:textAlignment w:val="baseline"/>
        <w:rPr>
          <w:rFonts w:cstheme="minorHAnsi"/>
          <w:bCs/>
        </w:rPr>
      </w:pPr>
    </w:p>
    <w:p w14:paraId="19393B21">
      <w:pPr>
        <w:pStyle w:val="11"/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OBRAZLOŽENJE POLUGODIŠNJEG I GODIŠNJEG IZVJEŠTAJA O IZVRŠENJU FINANCIJSKOG PLANA</w:t>
      </w:r>
    </w:p>
    <w:p w14:paraId="7848010B">
      <w:pPr>
        <w:pStyle w:val="11"/>
        <w:numPr>
          <w:ilvl w:val="0"/>
          <w:numId w:val="3"/>
        </w:numPr>
        <w:suppressAutoHyphens/>
        <w:autoSpaceDN w:val="0"/>
        <w:spacing w:after="0"/>
        <w:rPr>
          <w:rFonts w:cstheme="minorHAnsi"/>
        </w:rPr>
      </w:pPr>
      <w:r>
        <w:rPr>
          <w:rFonts w:cstheme="minorHAnsi"/>
        </w:rPr>
        <w:t xml:space="preserve">  sastoji se od obrazloženja ostvarenja prihoda i rashoda, primitaka i izdataka u izvještajnom razdoblju, te prikaza ostvarenog manjka odnosno viška u izvještajnom razdoblju.</w:t>
      </w:r>
    </w:p>
    <w:p w14:paraId="6B239802">
      <w:pPr>
        <w:pStyle w:val="11"/>
        <w:suppressAutoHyphens/>
        <w:autoSpaceDN w:val="0"/>
        <w:spacing w:after="0"/>
        <w:ind w:left="1080"/>
        <w:rPr>
          <w:rFonts w:cstheme="minorHAnsi"/>
        </w:rPr>
      </w:pPr>
    </w:p>
    <w:p w14:paraId="0104A58C">
      <w:pPr>
        <w:pStyle w:val="11"/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U skladu sa zakonskom obvezom, sastavljen je godišnji izvještaj o izvršenju Financijskog plana Kulturno Informativnog Centra Gospić, javne ustanove za kulturu za 2025. godinu. Prema odredbama Zakona o proračunu podaci o izvršenju prihoda i primitaka te rashoda i izdataka, iskazani su na razini odjeljka ekonomske klasifikacije (četvrta razina), dok su podaci o planu iskazani na razini podskupine ekonomske klasifikacije (treća razina).</w:t>
      </w:r>
    </w:p>
    <w:p w14:paraId="4AE88031">
      <w:pPr>
        <w:pStyle w:val="11"/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Financiranje Kulturno Informativnog Centra Gospić izvršeno je na osnovi sjedećih dokumenata:</w:t>
      </w:r>
    </w:p>
    <w:p w14:paraId="146C44A5">
      <w:pPr>
        <w:pStyle w:val="11"/>
        <w:suppressAutoHyphens/>
        <w:autoSpaceDN w:val="0"/>
        <w:spacing w:after="0"/>
        <w:textAlignment w:val="baseline"/>
        <w:rPr>
          <w:rFonts w:cstheme="minorHAnsi"/>
          <w:bCs/>
        </w:rPr>
      </w:pPr>
    </w:p>
    <w:p w14:paraId="38FEF8B5">
      <w:pPr>
        <w:pStyle w:val="11"/>
        <w:numPr>
          <w:ilvl w:val="0"/>
          <w:numId w:val="3"/>
        </w:num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Financijski plan Kulturno Informativnog Centara Gospić, javne ustanove za kulturu i projekcije za 2026. i 2027. godinu usvojen je na sjednici Upravnog vijeća održanoj 16.prosinca 2024. godine</w:t>
      </w:r>
    </w:p>
    <w:p w14:paraId="4690AB0B">
      <w:pPr>
        <w:pStyle w:val="11"/>
        <w:numPr>
          <w:ilvl w:val="0"/>
          <w:numId w:val="3"/>
        </w:num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I. Izmjena financijskog plana Kulturno Informativnog Centara Gospić, javne ustanove za kulturu za 2025. godinu usvojena je sjednici Upravnog vijeća održanoj 22. prosinca 2025. godine.</w:t>
      </w:r>
    </w:p>
    <w:p w14:paraId="50D4ECF6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</w:p>
    <w:p w14:paraId="0ED3E1D9">
      <w:pPr>
        <w:suppressAutoHyphens/>
        <w:autoSpaceDN w:val="0"/>
        <w:spacing w:after="0"/>
        <w:textAlignment w:val="baseline"/>
        <w:rPr>
          <w:rFonts w:cstheme="minorHAnsi"/>
          <w:b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cstheme="minorHAnsi"/>
          <w:b/>
          <w:color w:val="4F81BD" w:themeColor="accent1"/>
          <w14:textFill>
            <w14:solidFill>
              <w14:schemeClr w14:val="accent1"/>
            </w14:solidFill>
          </w14:textFill>
        </w:rPr>
        <w:t>Tablica 1: Izvršenje prihoda i rashoda za razdoblje od 01.01.2025.-31.12.2025. u odnosu na izvršenje istog razdoblja prethodne godine</w:t>
      </w:r>
    </w:p>
    <w:tbl>
      <w:tblPr>
        <w:tblStyle w:val="3"/>
        <w:tblW w:w="129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9"/>
        <w:gridCol w:w="1259"/>
        <w:gridCol w:w="1490"/>
        <w:gridCol w:w="1367"/>
        <w:gridCol w:w="986"/>
        <w:gridCol w:w="986"/>
      </w:tblGrid>
      <w:tr w14:paraId="4D84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5016D7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Račun / opis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175F5D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2024.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40858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2025.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5D6ABA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2025.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628C2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 3/1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36754F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 3/2</w:t>
            </w:r>
          </w:p>
        </w:tc>
      </w:tr>
      <w:tr w14:paraId="79DD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7625F061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A. RAČUN PRIHODA I RASHODA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2883C1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61AA279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57BCF370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06D40302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0E8405B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5</w:t>
            </w:r>
          </w:p>
        </w:tc>
      </w:tr>
      <w:tr w14:paraId="217E7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1C82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 Prihodi poslovanja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9505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363.141,46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D27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432.226,33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4BA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415.609,42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4A86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114,45%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D9D7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96,16%</w:t>
            </w:r>
          </w:p>
        </w:tc>
      </w:tr>
      <w:tr w14:paraId="4899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DFBE8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 Prihodi od prodaje nefinancijske imovine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C00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CC9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872F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EF4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12C9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14:paraId="71AC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5F9C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UKUPNI PRIHODI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BB8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363.141,46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03B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432.226,33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ED1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415.609,42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10C5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114,45%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8C2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96,16%</w:t>
            </w:r>
          </w:p>
        </w:tc>
      </w:tr>
      <w:tr w14:paraId="307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B4C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 Rashodi poslovanja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DBD9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378.347,44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047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435.603,33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9E9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424.268,89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33E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112,14%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E4C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97,40%</w:t>
            </w:r>
          </w:p>
        </w:tc>
      </w:tr>
      <w:tr w14:paraId="6197B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E5D3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 Rashodi za nabavu nefinancijske imovine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ABA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A2C6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3.000,00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77FF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2.140,60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4A7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9EC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71,35%</w:t>
            </w:r>
          </w:p>
        </w:tc>
      </w:tr>
      <w:tr w14:paraId="2B9C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4AAA1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UKUPNI RASHODI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0F4DA8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378.347,44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C71A3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438.603,33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E8CC4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426.409,49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96482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112,70%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FDEA6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97,22%</w:t>
            </w:r>
          </w:p>
        </w:tc>
      </w:tr>
      <w:tr w14:paraId="7872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9378F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VIŠAK / MANJAK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937C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-15.205,98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1C61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-6.377,00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D8BA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-10.800,07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67F54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71,03%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394E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169,36%</w:t>
            </w:r>
          </w:p>
        </w:tc>
      </w:tr>
      <w:tr w14:paraId="0895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732B01D8">
            <w:pPr>
              <w:rPr>
                <w:rFonts w:cstheme="minorHAnsi"/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3F2BE71">
            <w:pPr>
              <w:rPr>
                <w:rFonts w:cstheme="minorHAnsi"/>
              </w:rPr>
            </w:pPr>
          </w:p>
        </w:tc>
        <w:tc>
          <w:tcPr>
            <w:tcW w:w="149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2280E260">
            <w:pPr>
              <w:rPr>
                <w:rFonts w:cstheme="minorHAnsi"/>
              </w:rPr>
            </w:pPr>
          </w:p>
        </w:tc>
        <w:tc>
          <w:tcPr>
            <w:tcW w:w="1367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457930E0">
            <w:pPr>
              <w:rPr>
                <w:rFonts w:cstheme="minorHAnsi"/>
              </w:rPr>
            </w:pPr>
          </w:p>
        </w:tc>
        <w:tc>
          <w:tcPr>
            <w:tcW w:w="986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554DD76">
            <w:pPr>
              <w:rPr>
                <w:rFonts w:cstheme="minorHAnsi"/>
              </w:rPr>
            </w:pPr>
          </w:p>
        </w:tc>
        <w:tc>
          <w:tcPr>
            <w:tcW w:w="986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33C0DAC6">
            <w:pPr>
              <w:rPr>
                <w:rFonts w:cstheme="minorHAnsi"/>
              </w:rPr>
            </w:pPr>
          </w:p>
        </w:tc>
      </w:tr>
      <w:tr w14:paraId="3E96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37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0DD1A43F">
            <w:pPr>
              <w:pStyle w:val="15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Toc207348705"/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>Tablica 2: Izvršenje primitaka i izdataka za razdoblje od 01.01.2025.-31.12.2025. u odnosu na izvršenje istog razdoblja prethodne godine i izvorni  plan</w:t>
            </w:r>
          </w:p>
        </w:tc>
      </w:tr>
      <w:tr w14:paraId="0C56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54D2211A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B. RAČUN ZADUŽIVANJA / FINANCIRANJA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1C4CD11E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49FF2A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5D0444CB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07D00966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530545E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6639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C266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 Primici od financijske imovine i zaduživanja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DBEF0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6D5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FA68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7D4B4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BD5382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14:paraId="7400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08ED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 Izdaci za financijsku imovinu i otplate zajmova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AEE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42A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5E1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EFB6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D0D17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14:paraId="07A6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210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NETO ZADUŽIVANJE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84E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A37B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7529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8947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588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</w:tr>
      <w:tr w14:paraId="4933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42AE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UKUPNI DONOS VIŠKA / MANJKA IZ PRETHODNE(IH) GODINA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E63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AED5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099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D64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5C716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</w:tr>
      <w:tr w14:paraId="570B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12EB6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VIŠAK / MANJAK IZ PRETHODNE(IH) GODINE KOJI ĆE SE POKRITI / RASPOREDITI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D05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4D6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6.377,00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39F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3E8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51E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</w:tr>
      <w:tr w14:paraId="7264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bottom"/>
          </w:tcPr>
          <w:p w14:paraId="773AA10C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000000"/>
              </w:rPr>
              <w:t>Račun / opis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1F413CC0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000000"/>
              </w:rPr>
              <w:t>Izvršenje 2024.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24C4611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Izvorni plan 2025.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1CCDE3A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Izvršenje 2025.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21A298B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Indeks  3/1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75CA712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Indeks  3/2</w:t>
            </w:r>
          </w:p>
        </w:tc>
      </w:tr>
      <w:tr w14:paraId="49E9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bottom"/>
          </w:tcPr>
          <w:p w14:paraId="7D58B6D9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VIŠAK / MANJAK + NETO ZADUŽIVANJE / FINANCIRANJE + KORIŠTENO U PRETHODNIM GODINAMA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4F6B9EFD">
            <w:pPr>
              <w:spacing w:after="0" w:line="240" w:lineRule="auto"/>
              <w:rPr>
                <w:rFonts w:eastAsia="Times New Roman" w:cstheme="minorHAnsi"/>
                <w:color w:val="FFFFFF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6EBF28F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3694BDB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033EF1B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20CBEA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3F53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015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REZULTAT GODINE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D12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-15.205,98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515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13A7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-10.800,07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C00F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71,03%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4D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</w:tr>
    </w:tbl>
    <w:p w14:paraId="718C0D35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</w:p>
    <w:p w14:paraId="2DE2343E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</w:p>
    <w:p w14:paraId="1C798AB9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color w:val="4F81BD" w:themeColor="accent1"/>
          <w:u w:val="single"/>
          <w14:textFill>
            <w14:solidFill>
              <w14:schemeClr w14:val="accent1"/>
            </w14:solidFill>
          </w14:textFill>
        </w:rPr>
        <w:t>Grafikon 1. Grafički prikaz ostvarenih prihoda i rashoda za prethodno i tekuće izvještajno razdoblje</w:t>
      </w:r>
    </w:p>
    <w:p w14:paraId="32494ACE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810625" cy="2647950"/>
            <wp:effectExtent l="0" t="0" r="9525" b="0"/>
            <wp:wrapSquare wrapText="bothSides"/>
            <wp:docPr id="583254506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cstheme="minorHAnsi"/>
          <w:b/>
          <w:u w:val="single"/>
        </w:rPr>
        <w:br w:type="textWrapping" w:clear="all"/>
      </w:r>
    </w:p>
    <w:p w14:paraId="24E3A01E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 xml:space="preserve">Ukupni prihodi i primici u 2025. godini ostvareni su u iznosu od 415.609,42 </w:t>
      </w:r>
      <w:bookmarkStart w:id="2" w:name="_Hlk203732055"/>
      <w:r>
        <w:rPr>
          <w:rFonts w:cstheme="minorHAnsi"/>
          <w:bCs/>
        </w:rPr>
        <w:t xml:space="preserve">€ što je u usporedbi sa prihodima i primicima iz istog razdoblja 2024. godine u iznosu od </w:t>
      </w:r>
      <w:bookmarkEnd w:id="2"/>
      <w:r>
        <w:rPr>
          <w:rFonts w:cstheme="minorHAnsi"/>
          <w:bCs/>
        </w:rPr>
        <w:t>363.141,46 € više za 14,45 %.</w:t>
      </w:r>
    </w:p>
    <w:p w14:paraId="6633A681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Ukupni rashodi i izdaci u 2025. godini ostvareni su u iznosu od 426.409,49 € što je u usporedbi sa rashodima i izdacima iz istog razdoblja 2024. godine u iznosu od 378.347,44€ više za 12,70 %.</w:t>
      </w:r>
    </w:p>
    <w:p w14:paraId="14A34217">
      <w:pPr>
        <w:suppressAutoHyphens/>
        <w:autoSpaceDN w:val="0"/>
        <w:spacing w:after="0"/>
        <w:textAlignment w:val="baseline"/>
        <w:rPr>
          <w:rFonts w:cstheme="minorHAnsi"/>
          <w:bCs/>
        </w:rPr>
      </w:pPr>
    </w:p>
    <w:p w14:paraId="78A8EBF8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Na kraju izvještajnog razdoblja ostvaren je metodološki manjak prihoda u iznosu od 10.800,07 €.</w:t>
      </w:r>
    </w:p>
    <w:p w14:paraId="05142E9A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 xml:space="preserve">Manjak prihoda poslovanja ostvaren je iz nadležnog proračuna za financiranje redovne djelatnosti proračunskih korisnika. </w:t>
      </w:r>
    </w:p>
    <w:p w14:paraId="1DF2EC07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Evidentiranje rashoda se temelji na modificiranom načelu događanja, odnosno rashodi se priznaju u trenutku nastanka poslovnog događanja ( obveze ) u izvještajnom razdoblju na koje se odnosi i iz tog razloga je na kraju izvještajnog razdoblja nastao manjak prihoda poslovanja.</w:t>
      </w:r>
    </w:p>
    <w:p w14:paraId="3214991E">
      <w:pPr>
        <w:suppressAutoHyphens/>
        <w:autoSpaceDN w:val="0"/>
        <w:spacing w:after="0"/>
        <w:textAlignment w:val="baseline"/>
        <w:rPr>
          <w:rFonts w:cstheme="minorHAnsi"/>
          <w:bCs/>
        </w:rPr>
      </w:pPr>
    </w:p>
    <w:p w14:paraId="1D16FE9B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</w:p>
    <w:p w14:paraId="044FE8DD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 </w:t>
      </w:r>
      <w:r>
        <w:rPr>
          <w:rFonts w:cstheme="minorHAnsi"/>
          <w:b/>
          <w:u w:val="single"/>
        </w:rPr>
        <w:t>Prihodi i rashodi prema ekonomskoj klasifikaciji:</w:t>
      </w:r>
    </w:p>
    <w:p w14:paraId="31DF6B1D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</w:p>
    <w:p w14:paraId="4B89A3CE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Ekonomska klasifikacija je temeljna klasifikacija koja povezuje računovodstvene podatke s potrebama izvještavanja o ostvarenim prihodima po vrstama te izvršenim rashodima prema ekonomskoj namjeni.</w:t>
      </w:r>
    </w:p>
    <w:p w14:paraId="177B7E47">
      <w:pPr>
        <w:suppressAutoHyphens/>
        <w:autoSpaceDN w:val="0"/>
        <w:spacing w:after="0"/>
        <w:textAlignment w:val="baseline"/>
        <w:rPr>
          <w:rFonts w:cstheme="minorHAnsi"/>
          <w:bCs/>
        </w:rPr>
      </w:pPr>
    </w:p>
    <w:p w14:paraId="5D80AC67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/>
        </w:rPr>
        <w:t xml:space="preserve">Prihodi poslovanja ( razred 6 </w:t>
      </w:r>
      <w:r>
        <w:rPr>
          <w:rFonts w:cstheme="minorHAnsi"/>
          <w:bCs/>
        </w:rPr>
        <w:t>) ostvareni su u iznosu od 415.609,42 €, 3,84 %  manje u odnosu na tekući plan ove godine, a u odnosu na isto razdoblje prethodne godine u iznosu od 363.141,46 € za 14,45 % veći.</w:t>
      </w:r>
    </w:p>
    <w:p w14:paraId="2FBC0BD2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/>
        </w:rPr>
        <w:t>Pomoći iz inozemstva i od subjekta unutar općeg proračuna ( 63</w:t>
      </w:r>
      <w:r>
        <w:rPr>
          <w:rFonts w:cstheme="minorHAnsi"/>
          <w:bCs/>
        </w:rPr>
        <w:t xml:space="preserve"> ) ostvarene su u iznosu od 20.974,85 € i veći su za 5,42 % u odnosu na prošlu godinu.</w:t>
      </w:r>
    </w:p>
    <w:p w14:paraId="57555BF8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/>
        </w:rPr>
        <w:t>Prihodi od imovine ( 64</w:t>
      </w:r>
      <w:r>
        <w:rPr>
          <w:rFonts w:cstheme="minorHAnsi"/>
          <w:bCs/>
        </w:rPr>
        <w:t xml:space="preserve"> ) ostvareni su u iznosu od 0,73 €  i manji su u odnosu na prošlu godinu za 72,76 %.</w:t>
      </w:r>
    </w:p>
    <w:p w14:paraId="16D4E7F9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/>
        </w:rPr>
        <w:t>Prihodi od prodaje proizvoda i robe te pruženih usluga ( 66</w:t>
      </w:r>
      <w:r>
        <w:rPr>
          <w:rFonts w:cstheme="minorHAnsi"/>
          <w:bCs/>
        </w:rPr>
        <w:t xml:space="preserve"> ) ostvareni su u iznosu od 60.441,03 € i manji  su u odnosu na isto razdoblje prethodne godine za 1,23 %.</w:t>
      </w:r>
    </w:p>
    <w:p w14:paraId="37CCA4C3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/>
        </w:rPr>
        <w:t>Prihodi iz nadležnog proračuna za financiranje rashoda poslovanja ( 67</w:t>
      </w:r>
      <w:r>
        <w:rPr>
          <w:rFonts w:cstheme="minorHAnsi"/>
          <w:bCs/>
        </w:rPr>
        <w:t xml:space="preserve"> )  u iznosu od 334.192,81 € i veći su u odnosu na isto razdoblje prethodne godine za 18,49 %</w:t>
      </w:r>
    </w:p>
    <w:p w14:paraId="000BE631">
      <w:pPr>
        <w:suppressAutoHyphens/>
        <w:autoSpaceDN w:val="0"/>
        <w:spacing w:after="0"/>
        <w:textAlignment w:val="baseline"/>
        <w:rPr>
          <w:rFonts w:cstheme="minorHAnsi"/>
          <w:bCs/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59B15001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bookmarkStart w:id="3" w:name="_Toc207348707"/>
      <w:bookmarkEnd w:id="3"/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3: Izvršenje prihoda po skupinama za tekuću i prethodnu proračunsku godinu te prikaz ostvarenja izvještajnog razdoblja</w:t>
      </w:r>
    </w:p>
    <w:tbl>
      <w:tblPr>
        <w:tblStyle w:val="3"/>
        <w:tblW w:w="138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  <w:gridCol w:w="1277"/>
        <w:gridCol w:w="1225"/>
        <w:gridCol w:w="1225"/>
        <w:gridCol w:w="994"/>
        <w:gridCol w:w="994"/>
      </w:tblGrid>
      <w:tr w14:paraId="3111C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0A4033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Račun / opis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5C044B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2024.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2BCF83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2025.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52F292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2025.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3EE128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 3/1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5EDF21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 3/2</w:t>
            </w:r>
          </w:p>
        </w:tc>
      </w:tr>
      <w:tr w14:paraId="453E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117EABCF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 xml:space="preserve">RAČUN PRIHODA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4391CC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4B540D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728F53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7F80AA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062B46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5</w:t>
            </w:r>
          </w:p>
        </w:tc>
      </w:tr>
      <w:tr w14:paraId="01D49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11A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 Prihodi poslovanja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9A2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363.141,46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A30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432.226,33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C41B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415.609,42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0C8E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114,45%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1899E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96,16%</w:t>
            </w:r>
          </w:p>
        </w:tc>
      </w:tr>
      <w:tr w14:paraId="75D5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BEF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63 Pomoći iz inozemstva i od subjekata unutar općeg proračuna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214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19.895,97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8AC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20.870,00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04D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20.974,85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563A6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105,42%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ADD3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100,50%</w:t>
            </w:r>
          </w:p>
        </w:tc>
      </w:tr>
      <w:tr w14:paraId="446AF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9319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636 Pomoći proračunskim korisnicima iz proračuna koji im nije nadležan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B0B5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19.895,97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CCB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4D4C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20.974,85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C3C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105,42%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C25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1C0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8DF9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6361 Tekuće pomoći proračunskim korisnicima iz proračuna koji im nije nadležan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7521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19.895,97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618B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E4FA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20.974,85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2EEE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105,42%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496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A52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6909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64 Prihodi od imovine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61B2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2,63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D2C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ED39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7972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27,76%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E8A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73,00%</w:t>
            </w:r>
          </w:p>
        </w:tc>
      </w:tr>
      <w:tr w14:paraId="4A0CF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003480E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Račun / opis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79412AF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2024.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541AA09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2025.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1C8FE5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2025.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57632F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 3/1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13193B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 3/2</w:t>
            </w:r>
          </w:p>
        </w:tc>
      </w:tr>
      <w:tr w14:paraId="10F8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FAD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641 Prihodi od financijske imovine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2E5B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2,63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4A0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ED4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5BBF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27,76%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905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B0A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3D34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6413 Kamate na oročena sredstva i depozite po viđenju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1E2D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2,63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3442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9A23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0,73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11E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27,76%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554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255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A61D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66 Prihodi od prodaje proizvoda i robe te pruženih usluga, prihodi od donacija te povrati po protestira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8F25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61.193,62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54A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66.740,00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5218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60.441,03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30E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98,77%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E1D4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90,56%</w:t>
            </w:r>
          </w:p>
        </w:tc>
      </w:tr>
      <w:tr w14:paraId="581B8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1A5D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661 Prihodi od prodaje proizvoda i robe te pruženih usluga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342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61.193,62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C32B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E1C7F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60.441,03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0CE0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98,77%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DD6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485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0A1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6615 Prihodi od pruženih usluga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3C6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61.193,62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06F1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234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60.441,03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F94B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98,77%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2C9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63D2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0DD5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67 Prihodi iz nadležnog proračuna i od HZZO-a temeljem ugovornih obveza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9784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282.049,24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906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344.615,33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39A2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334.192,81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CBC0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118,49%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642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96,98%</w:t>
            </w:r>
          </w:p>
        </w:tc>
      </w:tr>
      <w:tr w14:paraId="4B6E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3F0B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671 Prihodi iz nadležnog proračuna za financiranje redovne djelatnosti proračunskih korisnika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763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282.049,24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811C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2FC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334.192,81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80C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118,49%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9F3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389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15138E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6711 Prihodi iz nadležnog proračuna za financiranje rashoda poslovanja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40065A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282.049,24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E48CE5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A211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334.192,81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191A5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118,49%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B7A07C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A082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96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 w14:paraId="652180C8">
            <w:pPr>
              <w:spacing w:after="0"/>
              <w:rPr>
                <w:rFonts w:cstheme="minorHAnsi"/>
                <w:b/>
                <w:bCs/>
                <w:color w:val="4F81BD" w:themeColor="accent1"/>
                <w:u w:val="single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22665DE">
            <w:pPr>
              <w:spacing w:after="0"/>
              <w:rPr>
                <w:rFonts w:cstheme="minorHAnsi"/>
                <w:b/>
                <w:bCs/>
                <w:color w:val="4F81BD" w:themeColor="accent1"/>
                <w:u w:val="singl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cstheme="minorHAnsi"/>
                <w:b/>
                <w:color w:val="4F81BD" w:themeColor="accent1"/>
                <w:u w:val="single"/>
                <w14:textFill>
                  <w14:solidFill>
                    <w14:schemeClr w14:val="accent1"/>
                  </w14:solidFill>
                </w14:textFill>
              </w:rPr>
              <w:t>Grafikon 1. Grafički prikaz prihoda po skupinama za tekuću i prethodnu godinu za izvještajno razdoblje siječanj-prosinac</w:t>
            </w:r>
          </w:p>
          <w:p w14:paraId="55672BDF">
            <w:pPr>
              <w:spacing w:after="0"/>
              <w:rPr>
                <w:rFonts w:cstheme="minorHAnsi"/>
                <w:b/>
                <w:bCs/>
                <w:color w:val="4F81BD" w:themeColor="accent1"/>
                <w:u w:val="singl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4F81BD" w:themeColor="accent1"/>
                <w:u w:val="single"/>
                <w14:textFill>
                  <w14:solidFill>
                    <w14:schemeClr w14:val="accent1"/>
                  </w14:solidFill>
                </w14:textFill>
              </w:rPr>
              <w:drawing>
                <wp:inline distT="0" distB="0" distL="0" distR="0">
                  <wp:extent cx="8686800" cy="2743200"/>
                  <wp:effectExtent l="0" t="0" r="0" b="0"/>
                  <wp:docPr id="364779637" name="Grafikon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28B9ECC3">
            <w:pPr>
              <w:spacing w:after="0"/>
              <w:rPr>
                <w:rFonts w:cstheme="minorHAnsi"/>
                <w:b/>
                <w:bCs/>
                <w:color w:val="4F81BD" w:themeColor="accent1"/>
                <w:u w:val="single"/>
                <w14:textFill>
                  <w14:solidFill>
                    <w14:schemeClr w14:val="accent1"/>
                  </w14:solidFill>
                </w14:textFill>
              </w:rPr>
            </w:pPr>
          </w:p>
          <w:p w14:paraId="03E5595A">
            <w:pPr>
              <w:spacing w:after="0"/>
              <w:rPr>
                <w:rFonts w:cstheme="minorHAnsi"/>
                <w:b/>
                <w:bCs/>
                <w:color w:val="4F81BD" w:themeColor="accent1"/>
                <w:u w:val="single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30320A5">
            <w:pPr>
              <w:spacing w:after="0"/>
              <w:rPr>
                <w:rFonts w:cstheme="minorHAnsi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cstheme="minorHAnsi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t>Tablica 4: Izvršenje rashoda  po skupinama za tekuću i prethodnu proračunsku godinu te prikaz ostvarenja izvještajnog razdoblja</w:t>
            </w:r>
          </w:p>
        </w:tc>
      </w:tr>
      <w:tr w14:paraId="504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4D828C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Račun / opis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24423A2A">
            <w:pPr>
              <w:rPr>
                <w:rFonts w:cstheme="minorHAnsi"/>
              </w:rPr>
            </w:pPr>
            <w:r>
              <w:rPr>
                <w:rFonts w:cstheme="minorHAnsi"/>
              </w:rPr>
              <w:t>Izvršenje 2024.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1BBE2664">
            <w:pPr>
              <w:rPr>
                <w:rFonts w:cstheme="minorHAnsi"/>
              </w:rPr>
            </w:pPr>
            <w:r>
              <w:rPr>
                <w:rFonts w:cstheme="minorHAnsi"/>
              </w:rPr>
              <w:t>Izvorni plan 2025.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68D38897">
            <w:pPr>
              <w:rPr>
                <w:rFonts w:cstheme="minorHAnsi"/>
              </w:rPr>
            </w:pPr>
            <w:r>
              <w:rPr>
                <w:rFonts w:cstheme="minorHAnsi"/>
              </w:rPr>
              <w:t>Izvršenje 2025.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162C06E3">
            <w:pPr>
              <w:rPr>
                <w:rFonts w:cstheme="minorHAnsi"/>
              </w:rPr>
            </w:pPr>
            <w:r>
              <w:rPr>
                <w:rFonts w:cstheme="minorHAnsi"/>
              </w:rPr>
              <w:t>Indeks  3/1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3210F9DF">
            <w:pPr>
              <w:rPr>
                <w:rFonts w:cstheme="minorHAnsi"/>
              </w:rPr>
            </w:pPr>
            <w:r>
              <w:rPr>
                <w:rFonts w:cstheme="minorHAnsi"/>
              </w:rPr>
              <w:t>Indeks  3/2</w:t>
            </w:r>
          </w:p>
        </w:tc>
      </w:tr>
      <w:tr w14:paraId="00147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text1" w:themeFillTint="80"/>
            <w:noWrap/>
          </w:tcPr>
          <w:p w14:paraId="707D855F">
            <w:pP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B. RAČUN  RASHODA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text1" w:themeFillTint="80"/>
            <w:noWrap/>
          </w:tcPr>
          <w:p w14:paraId="1A7273F1">
            <w:pP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text1" w:themeFillTint="80"/>
            <w:noWrap/>
          </w:tcPr>
          <w:p w14:paraId="33D6A3B7">
            <w:pP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text1" w:themeFillTint="80"/>
            <w:noWrap/>
          </w:tcPr>
          <w:p w14:paraId="4C53820A">
            <w:pP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text1" w:themeFillTint="80"/>
            <w:noWrap/>
          </w:tcPr>
          <w:p w14:paraId="3AB09C50">
            <w:pP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E7E7E" w:themeFill="text1" w:themeFillTint="80"/>
            <w:noWrap/>
          </w:tcPr>
          <w:p w14:paraId="24698B5F">
            <w:pP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5</w:t>
            </w:r>
          </w:p>
        </w:tc>
      </w:tr>
      <w:tr w14:paraId="0BEE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E5A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 Rashodi poslovanja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13B3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378.347,44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A2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435.603,33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B2B3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424.268,89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D5FA8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112,14%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9F3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97,40%</w:t>
            </w:r>
          </w:p>
        </w:tc>
      </w:tr>
      <w:tr w14:paraId="0CD4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4D4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31 Rashodi za zaposlene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2678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243.290,09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951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263.931,00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EBD1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264.736,71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A22E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108,82%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EAE8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100,31%</w:t>
            </w:r>
          </w:p>
        </w:tc>
      </w:tr>
      <w:tr w14:paraId="3E433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0B61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311 Plaće (Bruto)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775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195.619,51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224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0482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214.761,18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EBE1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109,79%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3FC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4269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76E1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3111 Plaće za redovan rad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6C2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195.619,51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15A6B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A9F2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214.761,18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D77C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109,79%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68D4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D58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99175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312 Ostali rashodi za zaposlene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050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15.849,79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A67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51B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14.540,00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4D11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91,74%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2306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CCBA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9380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3121 Ostali rashodi za zaposlene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636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15.849,79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F4F0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73B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14.540,00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3F8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91,74%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2FA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990B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C9F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313 Doprinosi na plaće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5E4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31.820,79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F347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B9F5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35.435,53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C300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111,36%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C817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0AC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2F58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3132 Doprinosi za obvezno zdravstveno osiguranje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0E4B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31.820,79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027F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E2D8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35.435,53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E2F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111,36%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38C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E94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CDF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 Materijalni rashodi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9353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134.364,52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C40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170.962,33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611F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158.874,32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BB39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118,24%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50B0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92,93%</w:t>
            </w:r>
          </w:p>
        </w:tc>
      </w:tr>
      <w:tr w14:paraId="1F03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698D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 Naknade troškova zaposlenima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B192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3.928,31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016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82CE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4.449,98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EA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113,28%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F80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F06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CA1C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3211 Službena putovanja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78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1.387,75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081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8A20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1.208,70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C990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87,10%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8252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8C5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B1F2E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3212 Naknade za prijevoz, za rad na terenu i odvojeni život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189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1.288,66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322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E38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1.520,36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AD5B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117,98%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5EE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1A6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A96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3213 Stručno usavršavanje zaposlenika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650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1.251,90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E44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2375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1.720,92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314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137,46%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AB67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80F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CCA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 Rashodi za materijal i energiju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0B5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23.109,00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274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AA5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28.336,63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FA5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122,62%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16A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C52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40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3221 Uredski materijal i ostali materijalni rashodi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6A1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7.237,16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EE6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CA6F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10.003,05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D61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138,22%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30D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A67E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513C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3223 Energija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5B8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11.789,82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435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609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15.165,67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5165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128,63%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5C94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3E9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E2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3224 Materijal i dijelovi za tekuće i investicijsko održavanje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F58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2.185,17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6E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D1E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1.915,10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876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87,64%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785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683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CFCF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3225 Sitni inventar i autogume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08E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1.896,85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E3F1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7585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1.252,81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3FA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66,05%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87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B4B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F73B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 Rashodi za usluge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71C4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97.230,73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5BA9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446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110.372,08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D36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113,52%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5A6E7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813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6142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3231 Usluge telefona, interneta, pošte i prijevoza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FAB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6.263,94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CD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644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7.602,33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A2C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121,37%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E7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242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A7C9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3232 Usluge tekućeg i investicijskog  održavanja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D980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2.493,02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5901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4E48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8.872,71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098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355,90%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348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83B6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2F42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3233 Usluge promidžbe i informiranja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E93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646,92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C987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121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871,08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2E4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134,65%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EDA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26DA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C5CE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3234 Komunalne usluge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83DC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1.934,77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8E1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9FBD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2.486,35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796A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128,51%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C650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70A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F1BD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 Zakupnine i najamnine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B6A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24.013,77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6A1C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9B3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25.416,34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A900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105,84%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7EE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4C7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D6BF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3237 Intelektualne i osobne usluge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4B9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49.982,23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409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AA8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46.784,93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247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93,60%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9DC5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D00B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048F23C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Račun / opis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025CF2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Izvršenje 2024.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42DA491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Izvorni plan 2025.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4B336C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Izvršenje 2025.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0EE866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Indeks  3/1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bottom"/>
          </w:tcPr>
          <w:p w14:paraId="04C322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Indeks  3/2</w:t>
            </w:r>
          </w:p>
        </w:tc>
      </w:tr>
      <w:tr w14:paraId="3EF5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37C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3238 Računalne usluge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DE3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4.438,22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E1D8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F0D4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5.768,91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CF25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129,98%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B0C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9EB8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2740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3239 Ostale usluge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AAD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7.457,86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A693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3315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12.569,43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949C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168,54%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F0E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D0F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0BC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 Ostali nespomenuti rashodi poslovanja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37E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10.096,48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1C1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D7F5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15.715,63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B27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155,65%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B3C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3EC5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854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3291 Naknade za rad predstavničkih i izvršnih tijela, povjerenstava i slično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1D3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4.186,06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88E4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8575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2.994,55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AD0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71,54%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A78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8F5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391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3293 Reprezentacija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830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1.106,56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0A2D5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A18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4.552,67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CD10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411,43%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C0AC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DC2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E8C0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3294 Članarine i norme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0E725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454,00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605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9C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447,00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AFEF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98,46%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3F0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677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BFED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3295 Pristojbe i naknade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CF3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167,62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903F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A62C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320,26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CB8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191,06%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DD2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4A0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C13FC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3299 Ostali nespomenuti rashodi poslovanja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7EB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4.182,24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CF179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93D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7.401,15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80C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176,97%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9A2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057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291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34 Financijski rashodi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47C3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692,83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E1C8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710,00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A2D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657,86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097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94,95%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5B9B0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92,66%</w:t>
            </w:r>
          </w:p>
        </w:tc>
      </w:tr>
      <w:tr w14:paraId="18A3D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E13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343 Ostali financijski rashodi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ED1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692,83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7628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B97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657,86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A4E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94,95%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DD4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663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5B93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3431 Bankarske usluge i usluge platnog prometa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F2D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680,61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015C0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4017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652,47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8D6F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95,87%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ADBE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E78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4683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3433 Zatezne kamate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7DEE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12,22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E0D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5B3F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59A9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44,11%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1966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742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89A1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 Rashodi za nabavu nefinancijske imovine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EC6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4CF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3.000,00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A5BC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2.140,60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0CAB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D74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71,35%</w:t>
            </w:r>
          </w:p>
        </w:tc>
      </w:tr>
      <w:tr w14:paraId="3288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CB6A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 Rashodi za nabavu proizvedene dugotrajne imovine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335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199F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3.000,00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4CEA1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2.140,60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CEE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9CAD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71,35%</w:t>
            </w:r>
          </w:p>
        </w:tc>
      </w:tr>
      <w:tr w14:paraId="22B4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CD0FD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422 Postrojenja i oprema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5DFA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30CF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582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2.140,60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B49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E02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EFD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4AA6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4221 Uredska oprema i namještaj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A9915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9E710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6221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2.140,60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F49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0,00%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6483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542649C9">
      <w:pPr>
        <w:pStyle w:val="11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5B7327AB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0272BE84">
      <w:pPr>
        <w:pStyle w:val="11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Ukupni rashod u  2025. godini ostvaren je u iznosu od 426.409,49 € a u odnosu na isto razdoblje prethodne godine veći za 12,70 %.</w:t>
      </w:r>
    </w:p>
    <w:p w14:paraId="0019C770">
      <w:pPr>
        <w:pStyle w:val="11"/>
        <w:spacing w:after="0"/>
        <w:ind w:left="0"/>
        <w:jc w:val="both"/>
        <w:rPr>
          <w:rFonts w:cstheme="minorHAnsi"/>
        </w:rPr>
      </w:pPr>
    </w:p>
    <w:p w14:paraId="2D325BF3">
      <w:pPr>
        <w:pStyle w:val="11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>Rashodi poslovanja ( razred 3</w:t>
      </w:r>
      <w:r>
        <w:rPr>
          <w:rFonts w:cstheme="minorHAnsi"/>
        </w:rPr>
        <w:t xml:space="preserve"> ), ostvareni iznosu od 424.268,89 € a u odnosu na isto razdoblje prethodne godine veći za 12,14 %.</w:t>
      </w:r>
    </w:p>
    <w:p w14:paraId="044A523C">
      <w:pPr>
        <w:pStyle w:val="11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>Rashodi za zaposlene ( 31</w:t>
      </w:r>
      <w:r>
        <w:rPr>
          <w:rFonts w:cstheme="minorHAnsi"/>
        </w:rPr>
        <w:t xml:space="preserve"> ) izvršeni su u iznosu od 264.736,71 € 8,82 % veći u odnosu  na isto razdoblje prethodne godine.</w:t>
      </w:r>
    </w:p>
    <w:p w14:paraId="12F1588C">
      <w:pPr>
        <w:pStyle w:val="11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>Materijalni rashodi ( 32</w:t>
      </w:r>
      <w:r>
        <w:rPr>
          <w:rFonts w:cstheme="minorHAnsi"/>
        </w:rPr>
        <w:t xml:space="preserve"> ) izvršeni su u iznosu od 158.874,32 € 18,24 % veći u odnosu  na isto razdoblje prethodne godine.</w:t>
      </w:r>
    </w:p>
    <w:p w14:paraId="11B6251E">
      <w:pPr>
        <w:pStyle w:val="11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>Financijski rashodi ( 34</w:t>
      </w:r>
      <w:r>
        <w:rPr>
          <w:rFonts w:cstheme="minorHAnsi"/>
        </w:rPr>
        <w:t xml:space="preserve"> ) ostvareni su u iznosu 657,86 €, 5,05 % manji u odnosu  na isto razdoblje prethodne godine.</w:t>
      </w:r>
    </w:p>
    <w:p w14:paraId="599B8F8E">
      <w:pPr>
        <w:pStyle w:val="11"/>
        <w:spacing w:after="0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>Rashodi za nabavu nefinancijske imovine ( 4</w:t>
      </w:r>
      <w:r>
        <w:rPr>
          <w:rFonts w:cstheme="minorHAnsi"/>
        </w:rPr>
        <w:t xml:space="preserve"> )  ostvareni su u iznosu od 2.140,60 €.</w:t>
      </w:r>
    </w:p>
    <w:p w14:paraId="3407629E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3961A353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47196DA4">
      <w:pPr>
        <w:suppressAutoHyphens/>
        <w:autoSpaceDN w:val="0"/>
        <w:spacing w:after="0"/>
        <w:textAlignment w:val="baseline"/>
        <w:rPr>
          <w:rFonts w:cstheme="minorHAnsi"/>
          <w:b/>
          <w:color w:val="4F81BD" w:themeColor="accent1"/>
          <w:u w:val="single"/>
          <w14:textFill>
            <w14:solidFill>
              <w14:schemeClr w14:val="accent1"/>
            </w14:solidFill>
          </w14:textFill>
        </w:rPr>
      </w:pPr>
      <w:r>
        <w:rPr>
          <w:rFonts w:cstheme="minorHAn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8286750" cy="2619375"/>
            <wp:effectExtent l="0" t="0" r="0" b="9525"/>
            <wp:wrapSquare wrapText="bothSides"/>
            <wp:docPr id="1446931255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bookmarkStart w:id="4" w:name="_Hlk224217131"/>
      <w:r>
        <w:rPr>
          <w:rFonts w:cstheme="minorHAnsi"/>
          <w:b/>
          <w:color w:val="4F81BD" w:themeColor="accent1"/>
          <w:u w:val="single"/>
          <w14:textFill>
            <w14:solidFill>
              <w14:schemeClr w14:val="accent1"/>
            </w14:solidFill>
          </w14:textFill>
        </w:rPr>
        <w:t xml:space="preserve">Grafikon 2 Grafički prikaz rashoda po skupinama za obračunsko </w:t>
      </w:r>
      <w:bookmarkEnd w:id="4"/>
      <w:r>
        <w:rPr>
          <w:rFonts w:cstheme="minorHAnsi"/>
          <w:b/>
          <w:color w:val="4F81BD" w:themeColor="accent1"/>
          <w:u w:val="single"/>
          <w14:textFill>
            <w14:solidFill>
              <w14:schemeClr w14:val="accent1"/>
            </w14:solidFill>
          </w14:textFill>
        </w:rPr>
        <w:t>razdoblje siječanj – prosinac 2025. godine</w:t>
      </w:r>
    </w:p>
    <w:p w14:paraId="4399C638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10AE48DD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44ADF5AF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699443D1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643D3F6B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2FF5ED4D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1A57656E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5B36DF75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7D1C47F6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7506594E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132A10A4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0DD43967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32FB146C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15B039E1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10511CBB">
      <w:pPr>
        <w:pStyle w:val="11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</w:p>
    <w:p w14:paraId="19C9FE0B">
      <w:pPr>
        <w:pStyle w:val="11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</w:p>
    <w:p w14:paraId="2A115CB2">
      <w:pPr>
        <w:pStyle w:val="11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Prihodi i rashodi prema izvorima financiranja:</w:t>
      </w:r>
    </w:p>
    <w:p w14:paraId="01EBFD0C">
      <w:pPr>
        <w:pStyle w:val="11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64F2761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Izvore financiranja čine skupine prihoda i primitaka iz kojih se podmiruju rashodi i izdaci određene vrste i utvrđene namjene. Izvori financiranja utvrđeni su Pravilnikom o proračunskim klasifikacijama (NN br. 144/21). </w:t>
      </w:r>
    </w:p>
    <w:p w14:paraId="2CBAC2EB">
      <w:pPr>
        <w:pStyle w:val="11"/>
        <w:spacing w:after="0" w:line="240" w:lineRule="auto"/>
        <w:rPr>
          <w:rFonts w:cstheme="minorHAnsi"/>
        </w:rPr>
      </w:pPr>
    </w:p>
    <w:p w14:paraId="44A8AB7E">
      <w:pPr>
        <w:spacing w:after="0" w:line="240" w:lineRule="auto"/>
        <w:rPr>
          <w:rFonts w:cstheme="minorHAnsi"/>
        </w:rPr>
      </w:pPr>
      <w:r>
        <w:rPr>
          <w:rFonts w:cstheme="minorHAnsi"/>
        </w:rPr>
        <w:t>Prihodi se planiraju, ostvaruju, raspoređuju, računovodstveno prate i iskazuju prema izvorima iz kojih potječu, također rashodi i izdaci se isto tako planiraju, izvršavaju ,računovodstveno prate i iskazuju prema izvorima financiranja.</w:t>
      </w:r>
    </w:p>
    <w:p w14:paraId="1CFA8F80">
      <w:pPr>
        <w:spacing w:after="0" w:line="240" w:lineRule="auto"/>
        <w:rPr>
          <w:rFonts w:cstheme="minorHAnsi"/>
        </w:rPr>
      </w:pPr>
    </w:p>
    <w:p w14:paraId="02E71EF6">
      <w:pPr>
        <w:spacing w:after="0" w:line="240" w:lineRule="auto"/>
        <w:rPr>
          <w:rFonts w:cstheme="minorHAnsi"/>
        </w:rPr>
      </w:pPr>
    </w:p>
    <w:p w14:paraId="15C7CC87">
      <w:pPr>
        <w:spacing w:after="0" w:line="240" w:lineRule="auto"/>
        <w:rPr>
          <w:rFonts w:cstheme="minorHAnsi"/>
        </w:rPr>
      </w:pPr>
      <w:r>
        <w:rPr>
          <w:rFonts w:cstheme="minorHAnsi"/>
        </w:rPr>
        <w:t>Izvori financiranja planirani u Financijskom planu jesu:</w:t>
      </w:r>
    </w:p>
    <w:p w14:paraId="43F50D12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2B034EAC">
      <w:pPr>
        <w:spacing w:after="0"/>
        <w:rPr>
          <w:rFonts w:eastAsia="Calibri" w:cstheme="minorHAnsi"/>
          <w:color w:val="0D0D0D"/>
        </w:rPr>
      </w:pPr>
      <w:r>
        <w:rPr>
          <w:rFonts w:eastAsia="Calibri" w:cstheme="minorHAnsi"/>
          <w:b/>
          <w:bCs/>
          <w:color w:val="0D0D0D"/>
        </w:rPr>
        <w:t>Izvor 1. Opći prihodi i primici:</w:t>
      </w:r>
      <w:r>
        <w:rPr>
          <w:rFonts w:eastAsia="Calibri" w:cstheme="minorHAnsi"/>
          <w:color w:val="0D0D0D"/>
        </w:rPr>
        <w:t xml:space="preserve"> Prihodi i primici koji Kulturno Informativni Centar Gospić ostvari iz nadležnog proračuna</w:t>
      </w:r>
    </w:p>
    <w:p w14:paraId="38EDDBE0">
      <w:pPr>
        <w:suppressAutoHyphens/>
        <w:autoSpaceDN w:val="0"/>
        <w:spacing w:after="0"/>
        <w:textAlignment w:val="baseline"/>
        <w:rPr>
          <w:rFonts w:cstheme="minorHAnsi"/>
        </w:rPr>
      </w:pPr>
      <w:r>
        <w:rPr>
          <w:rFonts w:eastAsia="Calibri" w:cstheme="minorHAnsi"/>
          <w:b/>
          <w:bCs/>
          <w:color w:val="0D0D0D"/>
        </w:rPr>
        <w:t>Izvor 3. Vlastiti prihodi</w:t>
      </w:r>
      <w:r>
        <w:rPr>
          <w:rFonts w:eastAsia="Calibri" w:cstheme="minorHAnsi"/>
          <w:color w:val="0D0D0D"/>
        </w:rPr>
        <w:t>: prihodi koje Kulturno Informativni Centar Gospić ostvari obavljanjem poslova na tržištu i tržišnim uvjetima, a koje mogu obavljati i drugi pravni subjekti ( iznajmljivanje prostora , reklame, prodaja ulaznica )</w:t>
      </w:r>
    </w:p>
    <w:p w14:paraId="1818ED7B">
      <w:pPr>
        <w:spacing w:after="0"/>
        <w:rPr>
          <w:rFonts w:eastAsia="Calibri" w:cstheme="minorHAnsi"/>
          <w:color w:val="0D0D0D"/>
        </w:rPr>
      </w:pPr>
      <w:r>
        <w:rPr>
          <w:rFonts w:eastAsia="Calibri" w:cstheme="minorHAnsi"/>
          <w:b/>
          <w:bCs/>
          <w:color w:val="0D0D0D"/>
        </w:rPr>
        <w:t>Izvor 5. Pomoći:</w:t>
      </w:r>
      <w:r>
        <w:rPr>
          <w:rFonts w:eastAsia="Calibri" w:cstheme="minorHAnsi"/>
          <w:color w:val="0D0D0D"/>
        </w:rPr>
        <w:t xml:space="preserve"> prihodi koji se ostvaruju od inozemnih vlada, međunarodnih organizacija, drugih proračuna i ostalih subjekata unutar općeg proračuna, uključujući i pomoći iz EU fondova.</w:t>
      </w:r>
    </w:p>
    <w:p w14:paraId="02495887">
      <w:pPr>
        <w:pStyle w:val="11"/>
        <w:spacing w:after="0" w:line="240" w:lineRule="auto"/>
        <w:ind w:left="0"/>
        <w:jc w:val="both"/>
        <w:rPr>
          <w:rFonts w:cstheme="minorHAnsi"/>
        </w:rPr>
      </w:pPr>
    </w:p>
    <w:p w14:paraId="3DEB3AB7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5. Prihodi prema izvorima financiranja za tekuću i prethodnu proračunsku godinu te prikaz ostvarenja izvještajnog razdoblja</w:t>
      </w:r>
    </w:p>
    <w:tbl>
      <w:tblPr>
        <w:tblStyle w:val="3"/>
        <w:tblW w:w="129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5"/>
        <w:gridCol w:w="1350"/>
        <w:gridCol w:w="1590"/>
        <w:gridCol w:w="1635"/>
        <w:gridCol w:w="1155"/>
        <w:gridCol w:w="1140"/>
      </w:tblGrid>
      <w:tr w14:paraId="0CD6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15831C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Račun / opis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61ECA7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Izvršenje 2024.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4EEEE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Izvorni plan 2025.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3EA30C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Izvršenje 2025.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103640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Indeks  3/1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0C46A2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Indeks  3/2</w:t>
            </w:r>
          </w:p>
        </w:tc>
      </w:tr>
      <w:tr w14:paraId="2B8E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2C1131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PRIHODI I RASHODI PREMA IZVORIMA FINANCIRANJA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2AB5E9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1FD941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6CAC6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2CA0D6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316284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</w:t>
            </w:r>
          </w:p>
        </w:tc>
      </w:tr>
      <w:tr w14:paraId="46CC6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239FC33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 xml:space="preserve"> SVEUKUPNI PRIHODI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4311E3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363.141,46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20447A3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432.226,33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7E11F7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415.609,42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12459AE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108,81%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13553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96,15%</w:t>
            </w:r>
          </w:p>
        </w:tc>
      </w:tr>
      <w:tr w14:paraId="17C40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2B391C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1. OPĆI PRIHODI I PRIMICI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900A1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282.049,24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830389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344.615,33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2CF78E7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334.192,81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0201E2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118,49%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B31923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96,98%</w:t>
            </w:r>
          </w:p>
        </w:tc>
      </w:tr>
      <w:tr w14:paraId="633D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54E86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3. VLASTITI PRIHODI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098A40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61.196,25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AD96EE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66.741,00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281070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60.441,76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AF8B4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98,77%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233407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90,56%</w:t>
            </w:r>
          </w:p>
        </w:tc>
      </w:tr>
      <w:tr w14:paraId="7C207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A131C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4. Prihodi za posebne namjene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2A492E1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19.895,97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4796C6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140EC5C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2B854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49611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</w:tr>
      <w:tr w14:paraId="3EC4F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56443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5. Pomoći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72776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A3B60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20.870,00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2E25A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20.974,85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0A57CB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27AD4F3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100,50%</w:t>
            </w:r>
          </w:p>
        </w:tc>
      </w:tr>
      <w:tr w14:paraId="2D75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1FCCA4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8D1D8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755FAC4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726065B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772B4CE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33182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748C9315">
      <w:pPr>
        <w:pStyle w:val="11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0B8E2442">
      <w:pPr>
        <w:spacing w:after="0"/>
        <w:jc w:val="both"/>
        <w:rPr>
          <w:rFonts w:eastAsia="Calibri" w:cstheme="minorHAnsi"/>
          <w:bCs/>
          <w:color w:val="0D0D0D"/>
          <w:u w:val="single"/>
        </w:rPr>
      </w:pPr>
      <w:r>
        <w:rPr>
          <w:rFonts w:eastAsia="Calibri" w:cstheme="minorHAnsi"/>
          <w:bCs/>
          <w:color w:val="0D0D0D"/>
          <w:u w:val="single"/>
        </w:rPr>
        <w:t>Prihodi ostvareni po izvorima financiranja:</w:t>
      </w:r>
    </w:p>
    <w:p w14:paraId="45163399">
      <w:pPr>
        <w:spacing w:after="0"/>
        <w:jc w:val="both"/>
        <w:rPr>
          <w:rFonts w:eastAsia="Calibri" w:cstheme="minorHAnsi"/>
          <w:color w:val="0D0D0D"/>
        </w:rPr>
      </w:pPr>
    </w:p>
    <w:p w14:paraId="6711AF0C">
      <w:pPr>
        <w:spacing w:after="0"/>
        <w:jc w:val="both"/>
        <w:rPr>
          <w:rFonts w:eastAsia="Calibri" w:cstheme="minorHAnsi"/>
          <w:color w:val="0D0D0D"/>
        </w:rPr>
      </w:pPr>
      <w:r>
        <w:rPr>
          <w:rFonts w:eastAsia="Calibri" w:cstheme="minorHAnsi"/>
          <w:color w:val="0D0D0D"/>
        </w:rPr>
        <w:t xml:space="preserve">Prihodi iz </w:t>
      </w:r>
      <w:r>
        <w:rPr>
          <w:rFonts w:eastAsia="Calibri" w:cstheme="minorHAnsi"/>
          <w:b/>
          <w:color w:val="0D0D0D"/>
        </w:rPr>
        <w:t>Izvora 1</w:t>
      </w:r>
      <w:r>
        <w:rPr>
          <w:rFonts w:eastAsia="Calibri" w:cstheme="minorHAnsi"/>
          <w:color w:val="0D0D0D"/>
        </w:rPr>
        <w:t xml:space="preserve">. </w:t>
      </w:r>
      <w:r>
        <w:rPr>
          <w:rFonts w:eastAsia="Calibri" w:cstheme="minorHAnsi"/>
          <w:b/>
          <w:color w:val="0D0D0D"/>
        </w:rPr>
        <w:t>Opći prihodi i primic</w:t>
      </w:r>
      <w:r>
        <w:rPr>
          <w:rFonts w:eastAsia="Calibri" w:cstheme="minorHAnsi"/>
          <w:color w:val="0D0D0D"/>
        </w:rPr>
        <w:t xml:space="preserve">i izvršeni su u iznosu od 334.192,81 €  odnosno 18, 49 %  veći u odnosu na prethodnu godinu i 3,02 %  manji u odnosu na tekući plan.  </w:t>
      </w:r>
    </w:p>
    <w:p w14:paraId="2C754C9B">
      <w:pPr>
        <w:spacing w:after="0"/>
        <w:jc w:val="both"/>
        <w:rPr>
          <w:rFonts w:eastAsia="Calibri" w:cstheme="minorHAnsi"/>
          <w:color w:val="0D0D0D"/>
        </w:rPr>
      </w:pPr>
      <w:r>
        <w:rPr>
          <w:rFonts w:eastAsia="Calibri" w:cstheme="minorHAnsi"/>
          <w:color w:val="0D0D0D"/>
        </w:rPr>
        <w:t xml:space="preserve">Prihodi iz </w:t>
      </w:r>
      <w:r>
        <w:rPr>
          <w:rFonts w:eastAsia="Calibri" w:cstheme="minorHAnsi"/>
          <w:b/>
          <w:color w:val="0D0D0D"/>
        </w:rPr>
        <w:t xml:space="preserve">Izvora 3.Vlastiti prihodi </w:t>
      </w:r>
      <w:r>
        <w:rPr>
          <w:rFonts w:eastAsia="Calibri" w:cstheme="minorHAnsi"/>
          <w:color w:val="0D0D0D"/>
        </w:rPr>
        <w:t xml:space="preserve">izvršeni su u iznosu od 60.441,76 €, u odnosu na isto razdoblje prethodne godine manji su za 1,23 % i 9,44 % manji u odnosu na tekući plan.  </w:t>
      </w:r>
    </w:p>
    <w:p w14:paraId="06633E9A">
      <w:p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  <w:color w:val="0D0D0D"/>
        </w:rPr>
        <w:t xml:space="preserve">Prihodi iz </w:t>
      </w:r>
      <w:r>
        <w:rPr>
          <w:rFonts w:eastAsia="Calibri" w:cstheme="minorHAnsi"/>
          <w:b/>
          <w:color w:val="000000"/>
        </w:rPr>
        <w:t>Izvora 5</w:t>
      </w:r>
      <w:r>
        <w:rPr>
          <w:rFonts w:eastAsia="Calibri" w:cstheme="minorHAnsi"/>
          <w:b/>
          <w:color w:val="0D0D0D"/>
        </w:rPr>
        <w:t xml:space="preserve">. Pomoć </w:t>
      </w:r>
      <w:r>
        <w:rPr>
          <w:rFonts w:eastAsia="Calibri" w:cstheme="minorHAnsi"/>
          <w:color w:val="0D0D0D"/>
        </w:rPr>
        <w:t>izvršeni su u iznosu od  20.974,85 €,  0,50 % veći od tekućeg plana</w:t>
      </w:r>
      <w:bookmarkStart w:id="5" w:name="_Hlk137237896"/>
      <w:r>
        <w:rPr>
          <w:rFonts w:eastAsia="Calibri" w:cstheme="minorHAnsi"/>
          <w:color w:val="0D0D0D"/>
        </w:rPr>
        <w:t>.</w:t>
      </w:r>
    </w:p>
    <w:p w14:paraId="01ABDB78">
      <w:pPr>
        <w:pStyle w:val="11"/>
        <w:spacing w:after="0"/>
        <w:jc w:val="both"/>
        <w:rPr>
          <w:rFonts w:eastAsia="Calibri" w:cstheme="minorHAnsi"/>
        </w:rPr>
      </w:pPr>
    </w:p>
    <w:p w14:paraId="52BF1CF8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6. Rashodi prema izvorima financiranja za tekuću i prethodnu proračunsku godinu te prikaz ostvarenja izvještajnog razdoblja</w:t>
      </w:r>
    </w:p>
    <w:tbl>
      <w:tblPr>
        <w:tblStyle w:val="3"/>
        <w:tblW w:w="129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2268"/>
        <w:gridCol w:w="1985"/>
        <w:gridCol w:w="1694"/>
        <w:gridCol w:w="1155"/>
        <w:gridCol w:w="1140"/>
      </w:tblGrid>
      <w:tr w14:paraId="055A3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77C6B99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Račun / opis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1DCB620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Izvršenje 2024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1E7C5D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Izvorni plan 2025.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24203D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Izvršenje 2025.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03DBC68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Indeks  3/1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215CEF6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Indeks  3/2</w:t>
            </w:r>
          </w:p>
        </w:tc>
      </w:tr>
      <w:tr w14:paraId="6FB27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761BE7D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SVEUKUPNI RASHODI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27997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378.261,66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4619E1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438.603,33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69EAD0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426.409,49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703FED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112,73%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bottom"/>
          </w:tcPr>
          <w:p w14:paraId="5F80EA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97,22%</w:t>
            </w:r>
          </w:p>
        </w:tc>
      </w:tr>
      <w:tr w14:paraId="36DD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2BCC10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1. OPĆI PRIHODI I PRIMICI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EA259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299.628,81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550F4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344.615,33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DB9BFA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340.682,74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9FB8AD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113,70%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720B4ED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98,86%</w:t>
            </w:r>
          </w:p>
        </w:tc>
      </w:tr>
      <w:tr w14:paraId="7D14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7258E32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3. VLASTITI PRIHODI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7100C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54.818,63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1DC49A8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66.741,00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1A6902E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58.374,90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9A18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106,49%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469E2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87,46%</w:t>
            </w:r>
          </w:p>
        </w:tc>
      </w:tr>
      <w:tr w14:paraId="7A9A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FCB44A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4. Prihodi za posebne namjene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415725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23.814,22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5D04BD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2FB82C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5D5D5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7733A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</w:tr>
      <w:tr w14:paraId="76FB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1D2BE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5. Pomoći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79D75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2EA666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20.870,00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0AD394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20.974,85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07A5F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01B0C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100,50%</w:t>
            </w:r>
          </w:p>
        </w:tc>
      </w:tr>
      <w:tr w14:paraId="15C9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0EB3D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 9. Višak prihoda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BA603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AE109D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6.377,00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643236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6.377,00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38B1AC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1335E61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100,00%</w:t>
            </w:r>
          </w:p>
        </w:tc>
      </w:tr>
      <w:bookmarkEnd w:id="5"/>
    </w:tbl>
    <w:p w14:paraId="3AEEEE8E">
      <w:pPr>
        <w:spacing w:after="0"/>
        <w:jc w:val="both"/>
        <w:rPr>
          <w:rFonts w:eastAsia="Calibri" w:cstheme="minorHAnsi"/>
          <w:bCs/>
          <w:color w:val="0D0D0D"/>
          <w:u w:val="single"/>
        </w:rPr>
      </w:pPr>
    </w:p>
    <w:p w14:paraId="401CD2B0">
      <w:pPr>
        <w:spacing w:after="0"/>
        <w:jc w:val="both"/>
        <w:rPr>
          <w:rFonts w:eastAsia="Calibri" w:cstheme="minorHAnsi"/>
          <w:bCs/>
          <w:color w:val="0D0D0D"/>
          <w:u w:val="single"/>
        </w:rPr>
      </w:pPr>
      <w:r>
        <w:rPr>
          <w:rFonts w:eastAsia="Calibri" w:cstheme="minorHAnsi"/>
          <w:bCs/>
          <w:color w:val="0D0D0D"/>
          <w:u w:val="single"/>
        </w:rPr>
        <w:t>Rashodi ostvareni po izvorima financiranja:</w:t>
      </w:r>
    </w:p>
    <w:p w14:paraId="581F68C5">
      <w:pPr>
        <w:spacing w:after="0"/>
        <w:jc w:val="both"/>
        <w:rPr>
          <w:rFonts w:eastAsia="Calibri" w:cstheme="minorHAnsi"/>
          <w:color w:val="0D0D0D"/>
        </w:rPr>
      </w:pPr>
    </w:p>
    <w:p w14:paraId="2CCB8C78">
      <w:pPr>
        <w:spacing w:after="0"/>
        <w:jc w:val="both"/>
        <w:rPr>
          <w:rFonts w:eastAsia="Calibri" w:cstheme="minorHAnsi"/>
          <w:color w:val="0D0D0D"/>
        </w:rPr>
      </w:pPr>
      <w:r>
        <w:rPr>
          <w:rFonts w:eastAsia="Calibri" w:cstheme="minorHAnsi"/>
          <w:color w:val="0D0D0D"/>
        </w:rPr>
        <w:t xml:space="preserve">Rashodi po </w:t>
      </w:r>
      <w:r>
        <w:rPr>
          <w:rFonts w:eastAsia="Calibri" w:cstheme="minorHAnsi"/>
          <w:b/>
          <w:color w:val="0D0D0D"/>
        </w:rPr>
        <w:t>Izvoru 1.Opći prihodi i primici</w:t>
      </w:r>
      <w:r>
        <w:rPr>
          <w:rFonts w:eastAsia="Calibri" w:cstheme="minorHAnsi"/>
          <w:color w:val="0D0D0D"/>
        </w:rPr>
        <w:t xml:space="preserve"> ostvareni su u iznosu od 340.682,74 €, što iznosi 13,70 % više u odnosu na prethodnu godinu i 1,14 % manji u odnosu na tekući plan.</w:t>
      </w:r>
    </w:p>
    <w:p w14:paraId="17D8ABF7">
      <w:pPr>
        <w:spacing w:after="0"/>
        <w:jc w:val="both"/>
        <w:rPr>
          <w:rFonts w:eastAsia="Calibri" w:cstheme="minorHAnsi"/>
          <w:color w:val="0D0D0D"/>
        </w:rPr>
      </w:pPr>
      <w:r>
        <w:rPr>
          <w:rFonts w:eastAsia="Calibri" w:cstheme="minorHAnsi"/>
          <w:color w:val="0D0D0D"/>
        </w:rPr>
        <w:t xml:space="preserve">Rashodi po </w:t>
      </w:r>
      <w:r>
        <w:rPr>
          <w:rFonts w:eastAsia="Calibri" w:cstheme="minorHAnsi"/>
          <w:b/>
          <w:color w:val="0D0D0D"/>
        </w:rPr>
        <w:t>Izvoru 3.Vlastiti prihodi</w:t>
      </w:r>
      <w:r>
        <w:rPr>
          <w:rFonts w:eastAsia="Calibri" w:cstheme="minorHAnsi"/>
          <w:color w:val="0D0D0D"/>
        </w:rPr>
        <w:t xml:space="preserve"> ostvareni su u iznosu od 58.374,90 € odnosno 6,49 % više  u odnosu na  prethodnu godinu i 12,54 % manji od  tekućeg plana.</w:t>
      </w:r>
    </w:p>
    <w:p w14:paraId="24B39E02">
      <w:pPr>
        <w:spacing w:after="0"/>
        <w:jc w:val="both"/>
        <w:rPr>
          <w:rFonts w:eastAsia="Calibri" w:cstheme="minorHAnsi"/>
          <w:color w:val="0D0D0D"/>
        </w:rPr>
      </w:pPr>
      <w:r>
        <w:rPr>
          <w:rFonts w:eastAsia="Calibri" w:cstheme="minorHAnsi"/>
          <w:color w:val="0D0D0D"/>
        </w:rPr>
        <w:t xml:space="preserve">Rashodi po </w:t>
      </w:r>
      <w:r>
        <w:rPr>
          <w:rFonts w:eastAsia="Calibri" w:cstheme="minorHAnsi"/>
          <w:b/>
          <w:color w:val="0D0D0D"/>
        </w:rPr>
        <w:t>Izvoru 5</w:t>
      </w:r>
      <w:r>
        <w:rPr>
          <w:rFonts w:eastAsia="Calibri" w:cstheme="minorHAnsi"/>
          <w:color w:val="0D0D0D"/>
        </w:rPr>
        <w:t xml:space="preserve">. </w:t>
      </w:r>
      <w:r>
        <w:rPr>
          <w:rFonts w:eastAsia="Calibri" w:cstheme="minorHAnsi"/>
          <w:b/>
          <w:color w:val="0D0D0D"/>
        </w:rPr>
        <w:t xml:space="preserve">Pomoći </w:t>
      </w:r>
      <w:r>
        <w:rPr>
          <w:rFonts w:eastAsia="Calibri" w:cstheme="minorHAnsi"/>
          <w:color w:val="0D0D0D"/>
        </w:rPr>
        <w:t>ostvareni su u iznosu od 20.974,85 € , 11,93 % manje u odnosu na prethodnu godinu i za 0,50 % više u odnosu na tekući  plan.</w:t>
      </w:r>
    </w:p>
    <w:p w14:paraId="0BDABFAE">
      <w:pPr>
        <w:pStyle w:val="11"/>
        <w:spacing w:after="0"/>
        <w:jc w:val="both"/>
        <w:rPr>
          <w:rFonts w:eastAsia="Calibri" w:cstheme="minorHAnsi"/>
          <w:color w:val="0D0D0D"/>
        </w:rPr>
      </w:pPr>
    </w:p>
    <w:p w14:paraId="755E5CD8">
      <w:pPr>
        <w:pStyle w:val="11"/>
        <w:spacing w:after="0"/>
        <w:ind w:left="0"/>
        <w:jc w:val="both"/>
        <w:rPr>
          <w:rFonts w:eastAsia="Calibri" w:cstheme="minorHAnsi"/>
          <w:color w:val="0D0D0D"/>
        </w:rPr>
      </w:pPr>
    </w:p>
    <w:p w14:paraId="0C87B197">
      <w:pPr>
        <w:pStyle w:val="11"/>
        <w:spacing w:after="0"/>
        <w:ind w:left="0"/>
        <w:jc w:val="both"/>
        <w:rPr>
          <w:rFonts w:eastAsia="Calibri" w:cstheme="minorHAnsi"/>
          <w:b/>
          <w:bCs/>
          <w:color w:val="0D0D0D"/>
          <w:u w:val="single"/>
        </w:rPr>
      </w:pPr>
      <w:r>
        <w:rPr>
          <w:rFonts w:eastAsia="Calibri" w:cstheme="minorHAnsi"/>
          <w:b/>
          <w:bCs/>
          <w:color w:val="0D0D0D"/>
          <w:u w:val="single"/>
        </w:rPr>
        <w:t>Rashodi prema funkcijskoj klasifikaciji:</w:t>
      </w:r>
    </w:p>
    <w:p w14:paraId="2B0FD113">
      <w:pPr>
        <w:pStyle w:val="11"/>
        <w:spacing w:after="0"/>
        <w:ind w:left="0"/>
        <w:jc w:val="both"/>
        <w:rPr>
          <w:rFonts w:eastAsia="Calibri" w:cstheme="minorHAnsi"/>
          <w:b/>
          <w:bCs/>
          <w:color w:val="0D0D0D"/>
        </w:rPr>
      </w:pPr>
    </w:p>
    <w:p w14:paraId="5A58AFCB">
      <w:pPr>
        <w:spacing w:after="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Funkcijska klasifikacija  utvrđena je u međunarodnoj klasifikaciji funkcija države razvrstane u razrede, skupine i podskupine te vezana uz rashode iskazane prema računima ekonomske klasifikacije svake aktivnosti, odnosno projekta. Funkcijska klasifikacija vezuje se uz rashode iskazane prema računima ekonomske klasifikacije vezane uz aktivnosti ili projekte u proračunu.</w:t>
      </w:r>
    </w:p>
    <w:p w14:paraId="6CB6AFB9">
      <w:pPr>
        <w:spacing w:after="0"/>
        <w:jc w:val="both"/>
        <w:rPr>
          <w:rFonts w:eastAsia="Calibri" w:cstheme="minorHAnsi"/>
          <w:color w:val="000000"/>
        </w:rPr>
      </w:pPr>
    </w:p>
    <w:p w14:paraId="72FB3EB9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bookmarkStart w:id="6" w:name="_Hlk223351999"/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7. Rashodi prema funkcijskoj klasifikaciji za tekuću i prethodnu proračunsku godinu te prikaz ostvarenja izvještajnog razdoblja</w:t>
      </w:r>
    </w:p>
    <w:bookmarkEnd w:id="6"/>
    <w:tbl>
      <w:tblPr>
        <w:tblStyle w:val="3"/>
        <w:tblW w:w="141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4"/>
        <w:gridCol w:w="1920"/>
        <w:gridCol w:w="1920"/>
        <w:gridCol w:w="1920"/>
        <w:gridCol w:w="1080"/>
        <w:gridCol w:w="1095"/>
      </w:tblGrid>
      <w:tr w14:paraId="1A64E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17F223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Račun/Opis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3F4659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Izvršenje 2024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08D9E2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Izvorni plan 2025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29C8D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Izvršenje 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199232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Indeks 3/1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18A559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Indeks 3/2</w:t>
            </w:r>
          </w:p>
        </w:tc>
      </w:tr>
      <w:tr w14:paraId="1CBA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2D3F75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76977A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2C4E63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563E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23D6A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noWrap/>
            <w:vAlign w:val="bottom"/>
          </w:tcPr>
          <w:p w14:paraId="7C607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</w:t>
            </w:r>
          </w:p>
        </w:tc>
      </w:tr>
      <w:tr w14:paraId="3643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466657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Funkcijska klasifikacija  SVEUKUPNI RASHODI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5F408CA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378.347,44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4A61D0B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438.603,33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258FFC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426.409,49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1FCB31E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112,70%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bottom"/>
          </w:tcPr>
          <w:p w14:paraId="514745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97,22%</w:t>
            </w:r>
          </w:p>
        </w:tc>
      </w:tr>
      <w:tr w14:paraId="5E49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 w14:paraId="561D4A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Funkcijska klasifikacija 08 Rekreacija, kultura i religija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 w14:paraId="3CBFCA4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378.347,44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 w14:paraId="24BF9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438.603,33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 w14:paraId="64B5BCF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426.409,49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 w14:paraId="2B1FB0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112,70%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 w14:paraId="79C38EC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97,22%</w:t>
            </w:r>
          </w:p>
        </w:tc>
      </w:tr>
      <w:tr w14:paraId="7145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/>
            <w:vAlign w:val="bottom"/>
          </w:tcPr>
          <w:p w14:paraId="557958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Funkcijska klasifikacija 082 Službe kulture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/>
            <w:vAlign w:val="bottom"/>
          </w:tcPr>
          <w:p w14:paraId="2B4FE43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378.347,44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/>
            <w:vAlign w:val="bottom"/>
          </w:tcPr>
          <w:p w14:paraId="32F22F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438.603,33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/>
            <w:vAlign w:val="bottom"/>
          </w:tcPr>
          <w:p w14:paraId="10132E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426.409,49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/>
            <w:vAlign w:val="bottom"/>
          </w:tcPr>
          <w:p w14:paraId="4ADBDD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112,70%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/>
            <w:vAlign w:val="bottom"/>
          </w:tcPr>
          <w:p w14:paraId="6FD248F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97,22%</w:t>
            </w:r>
          </w:p>
        </w:tc>
      </w:tr>
    </w:tbl>
    <w:p w14:paraId="7D91EC35">
      <w:pPr>
        <w:spacing w:after="0"/>
        <w:jc w:val="both"/>
        <w:rPr>
          <w:rFonts w:eastAsia="Calibri" w:cstheme="minorHAnsi"/>
          <w:color w:val="000000"/>
        </w:rPr>
      </w:pPr>
    </w:p>
    <w:p w14:paraId="27574758">
      <w:pPr>
        <w:pStyle w:val="11"/>
        <w:spacing w:after="0"/>
        <w:ind w:left="0"/>
        <w:jc w:val="both"/>
        <w:rPr>
          <w:rFonts w:eastAsia="Calibri" w:cstheme="minorHAnsi"/>
          <w:b/>
          <w:bCs/>
          <w:color w:val="0D0D0D"/>
        </w:rPr>
      </w:pPr>
    </w:p>
    <w:p w14:paraId="5DBDE05D">
      <w:pPr>
        <w:pStyle w:val="11"/>
        <w:numPr>
          <w:ilvl w:val="0"/>
          <w:numId w:val="5"/>
        </w:numPr>
        <w:spacing w:after="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08 Rekreacija, kultura i religija: </w:t>
      </w:r>
      <w:r>
        <w:rPr>
          <w:rFonts w:eastAsia="Calibri" w:cstheme="minorHAnsi"/>
          <w:color w:val="000000"/>
        </w:rPr>
        <w:t>službe rekreacije i sporta(održavanje sportske infrastrukture), službe kulture religijske i druge službe zajednice</w:t>
      </w:r>
      <w:r>
        <w:rPr>
          <w:rFonts w:eastAsia="Calibri" w:cstheme="minorHAnsi"/>
          <w:b/>
          <w:color w:val="000000"/>
        </w:rPr>
        <w:t xml:space="preserve">. </w:t>
      </w:r>
      <w:r>
        <w:rPr>
          <w:rFonts w:eastAsia="Calibri" w:cstheme="minorHAnsi"/>
          <w:color w:val="000000"/>
        </w:rPr>
        <w:t>Izvršeni su u iznosu od 426.409,49 € , odnosno 12,70 % više u odnosu na prethodnu godinu.</w:t>
      </w:r>
    </w:p>
    <w:p w14:paraId="0CE961D6">
      <w:pPr>
        <w:pStyle w:val="11"/>
        <w:spacing w:after="0"/>
        <w:jc w:val="both"/>
        <w:rPr>
          <w:rFonts w:eastAsia="Calibri" w:cstheme="minorHAnsi"/>
          <w:color w:val="000000"/>
        </w:rPr>
      </w:pPr>
    </w:p>
    <w:p w14:paraId="298219E9">
      <w:pPr>
        <w:spacing w:after="0"/>
        <w:jc w:val="both"/>
        <w:rPr>
          <w:rFonts w:eastAsia="Calibri" w:cstheme="minorHAnsi"/>
          <w:color w:val="000000"/>
        </w:rPr>
      </w:pPr>
    </w:p>
    <w:p w14:paraId="6615D95A">
      <w:pPr>
        <w:spacing w:after="0"/>
        <w:jc w:val="both"/>
        <w:rPr>
          <w:rFonts w:eastAsia="Calibri" w:cstheme="minorHAnsi"/>
          <w:b/>
          <w:bCs/>
          <w:color w:val="000000"/>
          <w:u w:val="single"/>
        </w:rPr>
      </w:pPr>
      <w:r>
        <w:rPr>
          <w:rFonts w:eastAsia="Calibri" w:cstheme="minorHAnsi"/>
          <w:b/>
          <w:bCs/>
          <w:color w:val="000000"/>
          <w:u w:val="single"/>
        </w:rPr>
        <w:t>Račun financiranja prema ekonomskoj klasifikaciji</w:t>
      </w:r>
    </w:p>
    <w:p w14:paraId="5D040810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14:paraId="07FAEDF5">
      <w:pPr>
        <w:spacing w:after="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Račun financiranja daje prikaz primitaka od financijske imovine i zaduživanja i izdataka za financijsku imovinu i otplate zajmova te neto financiranje. </w:t>
      </w:r>
    </w:p>
    <w:p w14:paraId="4087855A">
      <w:pPr>
        <w:spacing w:after="0"/>
        <w:jc w:val="both"/>
        <w:rPr>
          <w:rFonts w:eastAsia="Calibri" w:cstheme="minorHAnsi"/>
          <w:i/>
          <w:iCs/>
          <w:color w:val="000000"/>
        </w:rPr>
      </w:pPr>
      <w:r>
        <w:rPr>
          <w:rFonts w:eastAsia="Calibri" w:cstheme="minorHAnsi"/>
          <w:i/>
          <w:iCs/>
          <w:color w:val="000000"/>
        </w:rPr>
        <w:t xml:space="preserve"> </w:t>
      </w:r>
    </w:p>
    <w:p w14:paraId="2A13B420">
      <w:pPr>
        <w:spacing w:after="0"/>
        <w:jc w:val="both"/>
        <w:rPr>
          <w:rFonts w:eastAsia="Calibri" w:cstheme="minorHAnsi"/>
          <w:i/>
          <w:iCs/>
          <w:color w:val="000000"/>
        </w:rPr>
      </w:pPr>
      <w:r>
        <w:rPr>
          <w:rFonts w:eastAsia="Calibri" w:cstheme="minorHAnsi"/>
          <w:i/>
          <w:iCs/>
          <w:color w:val="000000"/>
        </w:rPr>
        <w:t xml:space="preserve">Primici od financijske imovine i zaduživanja  </w:t>
      </w:r>
    </w:p>
    <w:p w14:paraId="50F1EEB7">
      <w:pPr>
        <w:spacing w:after="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 izvještajnom razdoblju  od 01. siječnja do 31. prosinca 2025. godine nisu ostvarivani primitci.</w:t>
      </w:r>
    </w:p>
    <w:p w14:paraId="6BE64BBE">
      <w:pPr>
        <w:spacing w:after="0"/>
        <w:jc w:val="both"/>
        <w:rPr>
          <w:rFonts w:eastAsia="Calibri" w:cstheme="minorHAnsi"/>
          <w:color w:val="000000"/>
        </w:rPr>
      </w:pPr>
    </w:p>
    <w:p w14:paraId="72296AA9">
      <w:p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U izvještajnom razdoblju korištena su sredstva iz prethodne godine, koja su  ostvarena od viška prihoda poslovanja iz izvora 3. Vlastiti prihodi.</w:t>
      </w:r>
    </w:p>
    <w:p w14:paraId="5CCD5FFC">
      <w:pPr>
        <w:spacing w:after="0"/>
        <w:jc w:val="both"/>
        <w:rPr>
          <w:rFonts w:eastAsia="Calibri" w:cstheme="minorHAnsi"/>
          <w:color w:val="000000"/>
        </w:rPr>
      </w:pPr>
    </w:p>
    <w:p w14:paraId="7F80D02A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 xml:space="preserve">Tablica 8. Rashodi prema ekonomskoj klasifikaciji za tekuću proračunsku godinu </w:t>
      </w:r>
    </w:p>
    <w:p w14:paraId="092D7910">
      <w:pPr>
        <w:spacing w:after="0"/>
        <w:jc w:val="both"/>
        <w:rPr>
          <w:rFonts w:eastAsia="Calibri" w:cstheme="minorHAnsi"/>
          <w:b/>
          <w:bCs/>
          <w:color w:val="000000"/>
        </w:rPr>
      </w:pPr>
      <w:r>
        <w:rPr>
          <w:rFonts w:cstheme="minorHAnsi"/>
        </w:rPr>
        <w:drawing>
          <wp:inline distT="0" distB="0" distL="0" distR="0">
            <wp:extent cx="7810500" cy="1152525"/>
            <wp:effectExtent l="0" t="0" r="0" b="9525"/>
            <wp:docPr id="8438695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69544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EA7B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14:paraId="50BD0B8F">
      <w:pPr>
        <w:spacing w:after="0"/>
        <w:jc w:val="both"/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>Račun financiranja prema izvorima financiranja</w:t>
      </w:r>
    </w:p>
    <w:p w14:paraId="47F52C8F">
      <w:pPr>
        <w:spacing w:after="0"/>
        <w:jc w:val="both"/>
        <w:rPr>
          <w:rFonts w:eastAsia="Calibri" w:cstheme="minorHAnsi"/>
          <w:b/>
          <w:bCs/>
        </w:rPr>
      </w:pPr>
    </w:p>
    <w:p w14:paraId="7F713DB8">
      <w:p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Račun financiranja daje prikaz primitaka od financijske imovine i zaduživanja i izdataka za financijsku imovinu i otplate zajmova te neto financiranje. </w:t>
      </w:r>
    </w:p>
    <w:p w14:paraId="3659B4B4">
      <w:pPr>
        <w:spacing w:after="0"/>
        <w:jc w:val="both"/>
        <w:rPr>
          <w:rFonts w:eastAsia="Calibri" w:cstheme="minorHAnsi"/>
          <w:i/>
          <w:iCs/>
        </w:rPr>
      </w:pPr>
      <w:r>
        <w:rPr>
          <w:rFonts w:eastAsia="Calibri" w:cstheme="minorHAnsi"/>
          <w:i/>
          <w:iCs/>
        </w:rPr>
        <w:t xml:space="preserve"> </w:t>
      </w:r>
    </w:p>
    <w:p w14:paraId="142064E2">
      <w:p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U izvještajnom razdoblju korištena su sredstva ostvarena prethodne godine iz vlastitih izvora poslovanja.</w:t>
      </w:r>
    </w:p>
    <w:p w14:paraId="6E5F07F8">
      <w:pPr>
        <w:spacing w:after="0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</w:t>
      </w:r>
    </w:p>
    <w:p w14:paraId="0B8AF2A3">
      <w:pPr>
        <w:spacing w:after="0"/>
        <w:jc w:val="both"/>
        <w:rPr>
          <w:rFonts w:eastAsia="Calibri" w:cstheme="minorHAnsi"/>
          <w:b/>
        </w:rPr>
      </w:pPr>
    </w:p>
    <w:p w14:paraId="762A2F63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14:paraId="4A3050F5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14:paraId="750B736D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14:paraId="7724ACE8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14:paraId="0219EC3F">
      <w:pPr>
        <w:spacing w:after="0"/>
        <w:jc w:val="both"/>
        <w:rPr>
          <w:rFonts w:eastAsia="Calibri" w:cstheme="minorHAnsi"/>
          <w:b/>
          <w:bCs/>
          <w:color w:val="000000"/>
        </w:rPr>
      </w:pPr>
    </w:p>
    <w:p w14:paraId="1DED965B">
      <w:pPr>
        <w:pStyle w:val="11"/>
        <w:numPr>
          <w:ilvl w:val="0"/>
          <w:numId w:val="1"/>
        </w:numPr>
        <w:spacing w:after="0"/>
        <w:rPr>
          <w:rFonts w:eastAsia="Calibri" w:cstheme="minorHAnsi"/>
          <w:b/>
          <w:bCs/>
          <w:color w:val="0D0D0D"/>
          <w:u w:val="single"/>
        </w:rPr>
      </w:pPr>
      <w:r>
        <w:rPr>
          <w:rFonts w:eastAsia="Calibri" w:cstheme="minorHAnsi"/>
          <w:b/>
          <w:bCs/>
          <w:color w:val="0D0D0D"/>
          <w:u w:val="single"/>
        </w:rPr>
        <w:t xml:space="preserve"> POSEBNI DIO - OBRAZLOŽENJE POSEBNOG DIJELA</w:t>
      </w:r>
    </w:p>
    <w:p w14:paraId="728E7225">
      <w:pPr>
        <w:pStyle w:val="11"/>
        <w:spacing w:after="0"/>
        <w:ind w:left="0"/>
        <w:jc w:val="both"/>
        <w:rPr>
          <w:rFonts w:eastAsia="Calibri" w:cstheme="minorHAnsi"/>
          <w:b/>
          <w:bCs/>
          <w:color w:val="0D0D0D"/>
        </w:rPr>
      </w:pPr>
    </w:p>
    <w:p w14:paraId="638E0B77">
      <w:pPr>
        <w:suppressAutoHyphens/>
        <w:autoSpaceDN w:val="0"/>
        <w:spacing w:after="0"/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Izvršenje po organizacijskoj  i programskoj klasifikaciji</w:t>
      </w:r>
    </w:p>
    <w:p w14:paraId="29715586">
      <w:pPr>
        <w:suppressAutoHyphens/>
        <w:autoSpaceDN w:val="0"/>
        <w:spacing w:after="0"/>
        <w:textAlignment w:val="baseline"/>
        <w:rPr>
          <w:rFonts w:cstheme="minorHAnsi"/>
          <w:b/>
        </w:rPr>
      </w:pPr>
    </w:p>
    <w:p w14:paraId="5019103E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Posebni dio godišnjeg izvještaja o izvršenju proračuna sadrži izvršenje rashoda i izdataka iskazanih po organizacijskoj klasifikaciji, izvorima financiranja i ekonomskoj klasifikaciji, raspoređenih u programe koji se sastoje od aktivnosti i projekata.</w:t>
      </w:r>
    </w:p>
    <w:p w14:paraId="27D731A3">
      <w:pPr>
        <w:suppressAutoHyphens/>
        <w:autoSpaceDN w:val="0"/>
        <w:spacing w:after="0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U nastavku se daje pregled ukupnih izvršenih rashoda i izdataka po programskoj klasifikaciji.</w:t>
      </w:r>
    </w:p>
    <w:p w14:paraId="43F71344">
      <w:pPr>
        <w:suppressAutoHyphens/>
        <w:autoSpaceDN w:val="0"/>
        <w:spacing w:after="0"/>
        <w:textAlignment w:val="baseline"/>
        <w:rPr>
          <w:rFonts w:cstheme="minorHAnsi"/>
          <w:bCs/>
        </w:rPr>
      </w:pPr>
    </w:p>
    <w:p w14:paraId="61E8B18E">
      <w:pPr>
        <w:suppressAutoHyphens/>
        <w:autoSpaceDN w:val="0"/>
        <w:spacing w:after="0"/>
        <w:textAlignment w:val="baseline"/>
        <w:rPr>
          <w:rFonts w:cstheme="minorHAnsi"/>
          <w:bCs/>
        </w:rPr>
      </w:pPr>
    </w:p>
    <w:p w14:paraId="081C16A4">
      <w:pPr>
        <w:pStyle w:val="11"/>
        <w:spacing w:after="0" w:line="240" w:lineRule="auto"/>
        <w:ind w:left="0"/>
        <w:jc w:val="center"/>
        <w:rPr>
          <w:rFonts w:cstheme="minorHAnsi"/>
        </w:rPr>
      </w:pPr>
    </w:p>
    <w:p w14:paraId="389D50F8">
      <w:pPr>
        <w:pStyle w:val="11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Program / Redovna djelatnost KIC</w:t>
      </w:r>
    </w:p>
    <w:p w14:paraId="1FF75D11">
      <w:pPr>
        <w:pStyle w:val="11"/>
        <w:spacing w:after="0" w:line="240" w:lineRule="auto"/>
        <w:rPr>
          <w:rFonts w:cstheme="minorHAnsi"/>
          <w:b/>
        </w:rPr>
      </w:pPr>
    </w:p>
    <w:p w14:paraId="1AB17131">
      <w:pPr>
        <w:pStyle w:val="1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Osnovna djelatnost Kulturno Informativnog Centra Gospić, javne ustanove za kulturu je organizacija, razvijanje i unaprjeđivanje svih oblika kulturnog i umjetničkog stvaralaštva te zadovoljavanje svih oblika zabavnih, kulturnih i umjetničkih potreba grada Gospic.</w:t>
      </w:r>
    </w:p>
    <w:p w14:paraId="188FD176">
      <w:pPr>
        <w:pStyle w:val="10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Djelatnost se obavlja temeljem godišnjeg Plana i programa rada koje odobrava Osnivač. Unutarnja organizacija realizira se kroz djelatnost ustanove koju Centar obavlja po Zakonu, osnivačkom aktu i Statutu te prema Pravilniku o unutarnjem ustrojstvu i načinu rada Kulturno Informativnog Centra Gospić, javne ustanove za kulturu.</w:t>
      </w:r>
    </w:p>
    <w:p w14:paraId="7F847700">
      <w:pPr>
        <w:pStyle w:val="10"/>
        <w:spacing w:line="276" w:lineRule="auto"/>
        <w:rPr>
          <w:rFonts w:cstheme="minorHAnsi"/>
        </w:rPr>
      </w:pPr>
    </w:p>
    <w:p w14:paraId="5C4F5B7E">
      <w:pPr>
        <w:pStyle w:val="10"/>
        <w:spacing w:line="276" w:lineRule="auto"/>
        <w:rPr>
          <w:rFonts w:cstheme="minorHAnsi"/>
          <w:b/>
        </w:rPr>
      </w:pPr>
      <w:r>
        <w:rPr>
          <w:rFonts w:cstheme="minorHAnsi"/>
        </w:rPr>
        <w:t>Djelatnost Ustanove:</w:t>
      </w:r>
    </w:p>
    <w:p w14:paraId="6B75E4C3">
      <w:pPr>
        <w:pStyle w:val="10"/>
        <w:spacing w:line="276" w:lineRule="auto"/>
        <w:ind w:firstLine="708"/>
        <w:rPr>
          <w:rFonts w:cstheme="minorHAnsi"/>
          <w:b/>
        </w:rPr>
      </w:pPr>
    </w:p>
    <w:p w14:paraId="24D5ED93">
      <w:pPr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organizacija, razvijanje i unaprjeđivanje svih oblika kulturnog i umjetničkog stvaralaštva, </w:t>
      </w:r>
    </w:p>
    <w:p w14:paraId="3E07E70F">
      <w:pPr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zadovoljavanje svih oblika zabavnih, kulturnih i umjetničkih potreba grada Gospića,</w:t>
      </w:r>
    </w:p>
    <w:p w14:paraId="50380F4D">
      <w:pPr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izdavačka djelatnost;</w:t>
      </w:r>
    </w:p>
    <w:p w14:paraId="11AFE98C">
      <w:pPr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promidžba (reklama i propaganda);</w:t>
      </w:r>
    </w:p>
    <w:p w14:paraId="249F5AE8">
      <w:pPr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umjetničko i književno stvaralaštvo i reproduktivno izvođenje;</w:t>
      </w:r>
    </w:p>
    <w:p w14:paraId="6E22551C">
      <w:pPr>
        <w:spacing w:after="0"/>
        <w:jc w:val="both"/>
        <w:rPr>
          <w:rFonts w:cstheme="minorHAnsi"/>
        </w:rPr>
      </w:pPr>
    </w:p>
    <w:p w14:paraId="362814CC">
      <w:pPr>
        <w:spacing w:after="0"/>
        <w:jc w:val="both"/>
        <w:rPr>
          <w:rFonts w:cstheme="minorHAnsi"/>
        </w:rPr>
      </w:pPr>
      <w:r>
        <w:rPr>
          <w:rFonts w:cstheme="minorHAnsi"/>
        </w:rPr>
        <w:t>Ustanova ima 11 zaposlenika.</w:t>
      </w:r>
    </w:p>
    <w:p w14:paraId="0109D938">
      <w:pPr>
        <w:spacing w:after="0"/>
        <w:jc w:val="both"/>
        <w:rPr>
          <w:rFonts w:cstheme="minorHAnsi"/>
        </w:rPr>
      </w:pPr>
      <w:r>
        <w:rPr>
          <w:rFonts w:cstheme="minorHAnsi"/>
        </w:rPr>
        <w:t>U izvještajnom razdoblju ostvareni su rashodi za redovnu djelatnost ustanove u iznosu od 326.999,50 € ,1,90 % manje od tekućeg plana za 2025. godinu.</w:t>
      </w:r>
    </w:p>
    <w:p w14:paraId="2309EA9E">
      <w:pPr>
        <w:spacing w:after="0"/>
        <w:jc w:val="both"/>
        <w:rPr>
          <w:rFonts w:cstheme="minorHAnsi"/>
        </w:rPr>
      </w:pPr>
    </w:p>
    <w:p w14:paraId="2149B61C">
      <w:pPr>
        <w:spacing w:after="0"/>
        <w:jc w:val="both"/>
        <w:rPr>
          <w:rFonts w:cstheme="minorHAnsi"/>
        </w:rPr>
      </w:pPr>
    </w:p>
    <w:p w14:paraId="3BE8B391">
      <w:pPr>
        <w:spacing w:after="0"/>
        <w:jc w:val="both"/>
        <w:rPr>
          <w:rFonts w:cstheme="minorHAnsi"/>
        </w:rPr>
      </w:pPr>
    </w:p>
    <w:p w14:paraId="7B3EEBBA">
      <w:pPr>
        <w:spacing w:after="0"/>
        <w:jc w:val="both"/>
        <w:rPr>
          <w:rFonts w:cstheme="minorHAnsi"/>
        </w:rPr>
      </w:pPr>
    </w:p>
    <w:p w14:paraId="3AB2B93D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9. Rashodi prema programskoj klasifikaciji ( Redovna djelatnost KIC-a ) i izvorima financiranja</w:t>
      </w:r>
    </w:p>
    <w:tbl>
      <w:tblPr>
        <w:tblStyle w:val="3"/>
        <w:tblW w:w="138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025"/>
        <w:gridCol w:w="5727"/>
        <w:gridCol w:w="1875"/>
        <w:gridCol w:w="1725"/>
        <w:gridCol w:w="1380"/>
      </w:tblGrid>
      <w:tr w14:paraId="74D3E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1B756FA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Funkcijska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034998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Projekt/Aktivnost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395B66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VRSTA RASHODA I IZDATAKA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0272113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6D0B54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66AC23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2/1</w:t>
            </w:r>
          </w:p>
        </w:tc>
      </w:tr>
      <w:tr w14:paraId="5939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2F4A091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464A70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4001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30DBCE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Kultura: Redovna djelatnost KIC-a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7B8835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333.342,00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3382E58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326.999,50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3FAC8A1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98,10%</w:t>
            </w:r>
          </w:p>
        </w:tc>
      </w:tr>
      <w:tr w14:paraId="1824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0F99ADD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5AE41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A100001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5914DB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Aktivnost: Redovna djelatnost KIC.a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04874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7.377,00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469A87D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6.377,00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315B56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86,44%</w:t>
            </w:r>
          </w:p>
        </w:tc>
      </w:tr>
      <w:tr w14:paraId="45E6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42417CA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557DE1E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3. VLASTITI PRIHODI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76F121B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1.000,00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1BA7CD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0,00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0F94434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0,00%</w:t>
            </w:r>
          </w:p>
        </w:tc>
      </w:tr>
      <w:tr w14:paraId="5D89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619D3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8F3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01D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Rashodi za nabavu proizvedene dugotrajne imovine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01BE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1.000,00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B650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F9DE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0,00%</w:t>
            </w:r>
          </w:p>
        </w:tc>
      </w:tr>
      <w:tr w14:paraId="0618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7CC77F0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0C61D5F1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9. Višak prihoda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2059254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6.377,00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16F85E3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6.377,00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5142ADF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100,00%</w:t>
            </w:r>
          </w:p>
        </w:tc>
      </w:tr>
      <w:tr w14:paraId="78C4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D7F2A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5FB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A0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89C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6.377,00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7893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6.377,00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721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100,00%</w:t>
            </w:r>
          </w:p>
        </w:tc>
      </w:tr>
      <w:tr w14:paraId="34C1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B0A36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7A70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4174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Usluge tekućeg i investicijskog  održavanja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E446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216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6.377,00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80C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9F0E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7FE51D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0820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3AC4E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A100001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544A2E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Aktivnost: Redovna djelatnost KIC.a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3CDA48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325.965,00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D0D839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320.622,50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2A7DD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98,36%</w:t>
            </w:r>
          </w:p>
        </w:tc>
      </w:tr>
      <w:tr w14:paraId="5AA7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91F4E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71266C05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1. OPĆI PRIHODI I PRIMICI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A0ADE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296.815,00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E03B0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296.985,97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2E99BA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100,06%</w:t>
            </w:r>
          </w:p>
        </w:tc>
      </w:tr>
      <w:tr w14:paraId="76FC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5C30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7B5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E37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Rashodi za zaposlene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C94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263.331,00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3A9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264.136,71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08F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100,31%</w:t>
            </w:r>
          </w:p>
        </w:tc>
      </w:tr>
      <w:tr w14:paraId="2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47F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521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3111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8825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Plaće za redovan rad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C534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40D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214.761,18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3D85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475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74D1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537D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3121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7CB7D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Ostali rashodi za zaposlene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62A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CE18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13.940,00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60A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3CF0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DDE9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0B7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3132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C53E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Doprinosi za obvezno zdravstveno osiguranje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BE4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2C12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35.435,53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A73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C35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C00C5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669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C38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590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33.484,00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6853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32.849,26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1A9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98,10%</w:t>
            </w:r>
          </w:p>
        </w:tc>
      </w:tr>
      <w:tr w14:paraId="6AA9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CAF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962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9C2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Naknade za prijevoz, za rad na terenu i odvojeni život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3FCA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069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1.520,36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F6DF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1FA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AB23C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463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7B00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Uredski materijal i ostali 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7FAE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B1DA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1.075,64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7B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CF4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4CA2EC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2E4C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3223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DF13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Energija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885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D12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12.323,03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0B6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416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DD533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F0B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3225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70EC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Sitni inventar i autogume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E8D2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A1F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686,75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5A2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C69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9B0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7DF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AF0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Usluge telefona, interneta, pošte i prijevoza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6E76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952A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7.479,86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3EB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5C4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537D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CEAE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3234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BB28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Komunalne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C910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49B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2.486,35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E99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9F0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3B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0B3E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349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Zakupnine i najamnine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4DCC0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984C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834,21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CE145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19C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A5C9E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FEE5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3238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8653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Računalne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0ADF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E267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3.448,51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729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79C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06688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CA4F5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519D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Naknade za rad predstavničkih i izvršnih tijela, povjerenstava i slično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4137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C42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2.994,55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699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02C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9A995C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9E4A7A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3. VLASTITI PRIHODI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13FF69E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29.150,00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488EDFB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23.636,53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2C2A5C8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81,09%</w:t>
            </w:r>
          </w:p>
        </w:tc>
      </w:tr>
      <w:tr w14:paraId="4A99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575544D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color w:val="000000"/>
              </w:rPr>
              <w:t>Funkcijska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7D3E07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Projekt/Aktivnost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4FB48F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VRSTA RASHODA I IZDATAKA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5CE695C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150CF5F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2D44FC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2/1</w:t>
            </w:r>
          </w:p>
        </w:tc>
      </w:tr>
      <w:tr w14:paraId="19AB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3F0A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473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0F2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Rashodi za zaposlene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EB4E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600,00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FD2D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600,00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988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100,00%</w:t>
            </w:r>
          </w:p>
        </w:tc>
      </w:tr>
      <w:tr w14:paraId="30A1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E531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7550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3121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5D10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Ostali rashodi za zaposlene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19B9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BACE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600,00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91A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0C1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539A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1F4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26E9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9A4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27.840,00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AE8D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22.378,67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3F1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80,38%</w:t>
            </w:r>
          </w:p>
        </w:tc>
      </w:tr>
      <w:tr w14:paraId="58A9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A060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5031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57C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Službena putovanja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C660A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67DE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906,00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89F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237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809E2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FDF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3213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94D8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Stručno usavršavanje zaposlenika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02BA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6956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1.720,92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F8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6D47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9F99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8D94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4D80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Uredski materijal i ostali 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F7C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D14D7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1.118,37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511B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34B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86EA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A164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3223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53C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Energija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BF3E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898B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2.842,64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6A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759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75E62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CB9A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3224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A42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Materijal i dijelovi za tekuće i investicijsko održavanje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7FA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A8C7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1.915,10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B4B0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2395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35F7E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9325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3225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15C9E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Sitni inventar i autogume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F77A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E790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566,06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57A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1B1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DE5232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3FE5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10F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Usluge telefona, interneta, pošte i prijevoza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018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08D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122,47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204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F0D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AE0D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FBF1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3232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2B74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Usluge tekućeg i investicijskog  održavanja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E54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AB15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633,21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18D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1D9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11831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9D4C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5EE3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Zakupnine i najamnine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015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3D36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817,33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3290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5DA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133A9C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C546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3237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DE1A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Intelektualne i osobne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7C5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6F77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2.203,82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FD0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CC00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2C142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CCE1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3238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AAB9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Računalne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5568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687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2.320,40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0E5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2C9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7ECA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F81D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3239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5CD0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Ostale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78C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CD6F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419,69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F4F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190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A2A2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F766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3295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F1B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Pristojbe i naknade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15BB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77B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320,26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553E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3E2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3799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BB4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3299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674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Ostali nespomenuti rashodi poslovanja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0FCD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18F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6.472,40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D5BDE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3352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4CEA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83E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34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BBA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Financijski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85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710,00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DD6E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657,86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A30F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92,66%</w:t>
            </w:r>
          </w:p>
        </w:tc>
      </w:tr>
      <w:tr w14:paraId="41FAD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C833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1CB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3431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568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Bankarske usluge i usluge platnog prometa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577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9DE4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652,47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239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10BEA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8A5FA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A43D0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3433</w:t>
            </w:r>
          </w:p>
        </w:tc>
        <w:tc>
          <w:tcPr>
            <w:tcW w:w="5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58A1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Zatezne kamate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F3A5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E1F5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4BFC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75793EE9">
      <w:pPr>
        <w:spacing w:after="0" w:line="240" w:lineRule="auto"/>
        <w:jc w:val="both"/>
        <w:rPr>
          <w:rFonts w:cstheme="minorHAnsi"/>
        </w:rPr>
      </w:pPr>
    </w:p>
    <w:p w14:paraId="7184B1DD">
      <w:pPr>
        <w:spacing w:after="0" w:line="240" w:lineRule="auto"/>
        <w:jc w:val="both"/>
        <w:rPr>
          <w:rFonts w:cstheme="minorHAnsi"/>
        </w:rPr>
      </w:pPr>
    </w:p>
    <w:p w14:paraId="661ED5A2">
      <w:pPr>
        <w:pStyle w:val="11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Program / Radio Gospić</w:t>
      </w:r>
    </w:p>
    <w:p w14:paraId="3D46434D">
      <w:pPr>
        <w:spacing w:after="0" w:line="240" w:lineRule="auto"/>
        <w:rPr>
          <w:rFonts w:cstheme="minorHAnsi"/>
          <w:b/>
        </w:rPr>
      </w:pPr>
    </w:p>
    <w:p w14:paraId="5373F2B0">
      <w:pPr>
        <w:spacing w:after="0" w:line="360" w:lineRule="auto"/>
        <w:ind w:left="11" w:right="6"/>
        <w:jc w:val="both"/>
        <w:rPr>
          <w:rFonts w:cstheme="minorHAnsi"/>
        </w:rPr>
      </w:pPr>
      <w:r>
        <w:rPr>
          <w:rFonts w:cstheme="minorHAnsi"/>
        </w:rPr>
        <w:t>Kulturno Informativni Centar Gospić nakladnik je Radio Gospića temeljem Ugovora o koncesiji za obavljanje djelatnosti pružanja medijske usluge neprofitnog radija na području Ličko – senjske županije (Z-GS); 97,1 MHz, 105,7 MHz, 93,8 MHz i 98,4 MHz, br. R – 32/16 od 30. ožujka 2017. godine.</w:t>
      </w:r>
    </w:p>
    <w:p w14:paraId="22321CBC">
      <w:pPr>
        <w:spacing w:after="0" w:line="360" w:lineRule="auto"/>
        <w:ind w:left="11" w:right="6" w:firstLine="6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Program Radio Gospića temelji se na </w:t>
      </w:r>
      <w:r>
        <w:rPr>
          <w:rFonts w:cstheme="minorHAnsi"/>
          <w:shd w:val="clear" w:color="auto" w:fill="FFFFFF"/>
        </w:rPr>
        <w:t>potrebama i interesima slušateljstva na području Ličko – senjske županije. Cilj je pozitivno utjecati na sve aspekte kvalitetnog življenja, pružiti pravodobne vijesti i odličnu glazbu, pokriti dnevne informacije i aktualnosti s područja Ličko – senjske županije, te promovirati rad općina , gradova, ustanova, udruga, organizacija civilnog društva, sportskih klubova i zajednica i slično.</w:t>
      </w:r>
    </w:p>
    <w:p w14:paraId="7785271E">
      <w:pPr>
        <w:spacing w:after="0" w:line="360" w:lineRule="auto"/>
        <w:ind w:left="11" w:right="6" w:firstLine="6"/>
        <w:jc w:val="both"/>
        <w:rPr>
          <w:rFonts w:cstheme="minorHAnsi"/>
        </w:rPr>
      </w:pPr>
      <w:r>
        <w:rPr>
          <w:rFonts w:cstheme="minorHAnsi"/>
        </w:rPr>
        <w:t xml:space="preserve">Program Radio Gospića razvrstan je u sljedeće kategorije: informativni program, zabava, glazbeni program,  obrazovanje, umjetnost i kultura, sport, religija i etika i  audio komercijalna komunikacija. </w:t>
      </w:r>
    </w:p>
    <w:p w14:paraId="262A6DB4">
      <w:pPr>
        <w:spacing w:after="675" w:line="240" w:lineRule="auto"/>
        <w:ind w:left="14" w:right="4" w:firstLine="4"/>
        <w:jc w:val="both"/>
        <w:rPr>
          <w:rFonts w:cstheme="minorHAnsi"/>
        </w:rPr>
      </w:pPr>
      <w:r>
        <w:rPr>
          <w:rFonts w:cstheme="minorHAnsi"/>
        </w:rPr>
        <w:t>Dnevno vrijeme objavljivanja je: 0 - 24 sata</w:t>
      </w:r>
    </w:p>
    <w:p w14:paraId="0EE0D6E1">
      <w:pPr>
        <w:spacing w:after="0" w:line="240" w:lineRule="auto"/>
        <w:ind w:left="14" w:right="4" w:firstLine="4"/>
        <w:jc w:val="both"/>
        <w:rPr>
          <w:rFonts w:cstheme="minorHAnsi"/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10. Rashodi prema programskoj klasifikaciji ( Radio Gospić ) i izvorima financiranja</w:t>
      </w:r>
    </w:p>
    <w:tbl>
      <w:tblPr>
        <w:tblStyle w:val="3"/>
        <w:tblW w:w="130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025"/>
        <w:gridCol w:w="4980"/>
        <w:gridCol w:w="1875"/>
        <w:gridCol w:w="1725"/>
        <w:gridCol w:w="1267"/>
      </w:tblGrid>
      <w:tr w14:paraId="317ED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1847089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color w:val="000000"/>
              </w:rPr>
              <w:t>Funkcijska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782193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Projekt/Aktivnost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3B34A35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VRSTA RASHODA I IZDATAKA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6D6C36D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6B81EE2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729AA3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2/1</w:t>
            </w:r>
          </w:p>
        </w:tc>
      </w:tr>
      <w:tr w14:paraId="6A64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18E57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CC052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4002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93623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Program: Radio Gospić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0CF8C3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45.780,00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3E621F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42.847,77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552F3E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93,59%</w:t>
            </w:r>
          </w:p>
        </w:tc>
      </w:tr>
      <w:tr w14:paraId="6B87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F4995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0820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64F866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A100001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287F30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Aktivnost: Radio Gospić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327A5F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45.780,00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BB122E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42.847,77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7594E0F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93,59%</w:t>
            </w:r>
          </w:p>
        </w:tc>
      </w:tr>
      <w:tr w14:paraId="33585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421D7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7E615D7E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1. OPĆI PRIHODI I PRIMICI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784CADB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23.980,00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0B265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21.446,25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46F4AB3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89,43%</w:t>
            </w:r>
          </w:p>
        </w:tc>
      </w:tr>
      <w:tr w14:paraId="7799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C055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5D2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D77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79A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23.980,00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132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21.446,25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47B4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89,43%</w:t>
            </w:r>
          </w:p>
        </w:tc>
      </w:tr>
      <w:tr w14:paraId="7123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4644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6536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98D9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Zakupnine i najamnine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A0C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C2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15.446,25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B47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246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5C21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150B8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84C6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Ostale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6F54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BE4E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6.000,00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867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3C8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123246D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1C39618F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3. VLASTITI PRIHODI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0607D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5.430,00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70B677D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5.591,63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2320FE4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102,98%</w:t>
            </w:r>
          </w:p>
        </w:tc>
      </w:tr>
      <w:tr w14:paraId="21FD9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073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830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871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74E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5.430,00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4D7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5.591,63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F8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102,98%</w:t>
            </w:r>
          </w:p>
        </w:tc>
      </w:tr>
      <w:tr w14:paraId="1732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D42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A5AD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C87B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Usluge tekućeg i investicijskog  održavanja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FFA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FE44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1.862,50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4A1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13E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74EC8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5F5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5393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Usluge promidžbe i informiranja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188F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041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871,08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8CAF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A06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D1C18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BBC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0FDD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Zakupnine i najamnine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8371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571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1.482,30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D2B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92E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5B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CF88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7826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Članarine i norme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178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D999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447,00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923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2C7A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AAE7B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47A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E533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Ostali nespomenuti rashodi poslovanja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AE5E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1C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928,75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AED8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6695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20183AF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5C9ACF2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5. Pomoći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A08DDB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16.370,00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012E55D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15.809,89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9A051A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96,58%</w:t>
            </w:r>
          </w:p>
        </w:tc>
      </w:tr>
      <w:tr w14:paraId="6ED6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FD8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3D6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5AF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BDF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16.370,00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5DC9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15.809,89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B94B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96,58%</w:t>
            </w:r>
          </w:p>
        </w:tc>
      </w:tr>
      <w:tr w14:paraId="29C1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FD96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6750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135BF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Službena putovanja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BD9D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0CF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302,70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68C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B4DA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92DD8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0B0E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05EE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Uredski materijal i ostali 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464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5699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3.223,49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10F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BCA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76D0C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F479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A4AB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Zakupnine i najamnine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126A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5664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1.370,00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2A5A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385D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CB586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CC0F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414D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Intelektualne i osobne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0EDD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90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10.913,70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57E2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1F103420">
      <w:pPr>
        <w:spacing w:after="0" w:line="240" w:lineRule="auto"/>
        <w:jc w:val="both"/>
        <w:rPr>
          <w:rFonts w:cstheme="minorHAnsi"/>
          <w:b/>
        </w:rPr>
      </w:pPr>
    </w:p>
    <w:p w14:paraId="31ECE9B2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Programska aktivnost Radio Gospića financira se iz Općih prihoda i rashoda ( Izvor 1) . U izvještajnom razdoblju od 01.01.2025.-31.12.2025.godine ostvaren je rashod iz ovog izvora u iznosu od 21.446,25 € , 10,57 %  manje od tekućeg plana za 2025. godinu</w:t>
      </w:r>
    </w:p>
    <w:p w14:paraId="7962F6A4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Iz vlastitih izvora ( Izvor 3. ) ostvaren je rashod u iznosu od 5.591,63€, 2,98 % više  od tekućeg plana za 2025. godinu.</w:t>
      </w:r>
    </w:p>
    <w:p w14:paraId="49F0FB81">
      <w:p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Iz izvora 5. Pomoći ostvareni su rashodi u iznosu od 15.809,89 € , 3,42 % manje od tekućeg plana za 2025. godinu.</w:t>
      </w:r>
    </w:p>
    <w:p w14:paraId="39A6C081">
      <w:pPr>
        <w:jc w:val="both"/>
        <w:rPr>
          <w:rFonts w:eastAsia="Times New Roman" w:cstheme="minorHAnsi"/>
        </w:rPr>
      </w:pPr>
      <w:r>
        <w:rPr>
          <w:rFonts w:cstheme="minorHAnsi"/>
          <w:u w:val="single"/>
        </w:rPr>
        <w:t>Opći cilj:</w:t>
      </w:r>
    </w:p>
    <w:p w14:paraId="43557F0A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Svestrano, objektivno i nepristrano informiranje slušatelja, stvaranje autorskog sadržaja, kreiranje vlastitih emisija, oblikovanje programa prema potrebama i interesima slušateljstva, suradnja s brojnim ustanovama i udrugama na području Županije i šire kako bi se promicao njihov rad i  općenito pozitivne vrijednost</w:t>
      </w:r>
    </w:p>
    <w:p w14:paraId="170A8DF0">
      <w:pPr>
        <w:jc w:val="both"/>
        <w:rPr>
          <w:rFonts w:eastAsia="Calibri" w:cstheme="minorHAnsi"/>
        </w:rPr>
      </w:pPr>
      <w:r>
        <w:rPr>
          <w:rFonts w:cstheme="minorHAnsi"/>
          <w:u w:val="single"/>
        </w:rPr>
        <w:t>Pokazatelji uspješnosti provođenja programa:</w:t>
      </w:r>
    </w:p>
    <w:p w14:paraId="3B7DF88A">
      <w:pPr>
        <w:spacing w:after="0"/>
        <w:rPr>
          <w:rFonts w:eastAsiaTheme="minorHAnsi" w:cstheme="minorHAnsi"/>
          <w:lang w:eastAsia="en-US"/>
        </w:rPr>
      </w:pPr>
    </w:p>
    <w:p w14:paraId="0AF3FCFE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eastAsiaTheme="minorHAnsi" w:cstheme="minorHAnsi"/>
          <w:lang w:eastAsia="en-US"/>
        </w:rPr>
        <w:t xml:space="preserve"> </w:t>
      </w: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 xml:space="preserve">Tablica 11. Prikaz pokazatelja uspješnosti za tekuću i prethodnu godinu( Radio Gospić ) </w:t>
      </w:r>
    </w:p>
    <w:tbl>
      <w:tblPr>
        <w:tblStyle w:val="18"/>
        <w:tblW w:w="0" w:type="auto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1652"/>
        <w:gridCol w:w="1559"/>
        <w:gridCol w:w="1701"/>
        <w:gridCol w:w="1701"/>
        <w:gridCol w:w="1984"/>
      </w:tblGrid>
      <w:tr w14:paraId="2CE5A05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4F81BD" w:themeFill="accent1"/>
          </w:tcPr>
          <w:p w14:paraId="4D3D56B8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Pokazatelj rezultata</w:t>
            </w:r>
          </w:p>
        </w:tc>
        <w:tc>
          <w:tcPr>
            <w:tcW w:w="1652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F81BD" w:themeFill="accent1"/>
          </w:tcPr>
          <w:p w14:paraId="45349E65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Jedinica mjere</w:t>
            </w:r>
          </w:p>
        </w:tc>
        <w:tc>
          <w:tcPr>
            <w:tcW w:w="1559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F81BD" w:themeFill="accent1"/>
          </w:tcPr>
          <w:p w14:paraId="0EAD6275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Planirano 2024.</w:t>
            </w:r>
          </w:p>
        </w:tc>
        <w:tc>
          <w:tcPr>
            <w:tcW w:w="1701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F81BD" w:themeFill="accent1"/>
          </w:tcPr>
          <w:p w14:paraId="2CA6ED35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Realizirano 2024.</w:t>
            </w:r>
          </w:p>
        </w:tc>
        <w:tc>
          <w:tcPr>
            <w:tcW w:w="1701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F81BD" w:themeFill="accent1"/>
          </w:tcPr>
          <w:p w14:paraId="1AE6E7C4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  <w:t>Planirano 2025.</w:t>
            </w:r>
          </w:p>
        </w:tc>
        <w:tc>
          <w:tcPr>
            <w:tcW w:w="1984" w:type="dxa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4F81BD" w:themeFill="accent1"/>
          </w:tcPr>
          <w:p w14:paraId="2756180E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  <w:t>Realizirano 2025.</w:t>
            </w:r>
          </w:p>
        </w:tc>
      </w:tr>
      <w:tr w14:paraId="5BCA470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2738" w:type="dxa"/>
            <w:tcBorders>
              <w:left w:val="single" w:color="FFFFFF" w:themeColor="background1" w:sz="4" w:space="0"/>
            </w:tcBorders>
            <w:shd w:val="clear" w:color="auto" w:fill="4F81BD" w:themeFill="accent1"/>
          </w:tcPr>
          <w:p w14:paraId="0045CA02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Povećanje broja emisija, reportaža ,vijesti i gostovanja</w:t>
            </w:r>
          </w:p>
          <w:p w14:paraId="10636760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  <w:p w14:paraId="50818DA4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2" w:type="dxa"/>
            <w:shd w:val="clear" w:color="auto" w:fill="B8CCE4" w:themeFill="accent1" w:themeFillTint="66"/>
          </w:tcPr>
          <w:p w14:paraId="1523A487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Broj vlastitih emisija</w:t>
            </w:r>
          </w:p>
          <w:p w14:paraId="136B93D5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2112FC1E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Broj reportaža</w:t>
            </w:r>
          </w:p>
          <w:p w14:paraId="705EC50A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7EBA0F09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Broj popraćenih događanja</w:t>
            </w:r>
          </w:p>
          <w:p w14:paraId="42DFB698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1B6CB578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19A993C3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13</w:t>
            </w:r>
          </w:p>
          <w:p w14:paraId="19964FCC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3680022D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67E0539C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11</w:t>
            </w:r>
          </w:p>
          <w:p w14:paraId="23F46AA7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72AC607B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59FE4A64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7D67AEBB">
            <w:pPr>
              <w:spacing w:after="0" w:line="240" w:lineRule="auto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1100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742BBC3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13</w:t>
            </w:r>
          </w:p>
          <w:p w14:paraId="7629E115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3FACDA24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65396620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11</w:t>
            </w:r>
          </w:p>
          <w:p w14:paraId="660FCBAA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07052422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6B47EAFD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0B53BA36">
            <w:pPr>
              <w:spacing w:after="0" w:line="240" w:lineRule="auto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1130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C2288AD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12</w:t>
            </w:r>
          </w:p>
          <w:p w14:paraId="677C23BA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0C130B20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3F5B02FE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11</w:t>
            </w:r>
          </w:p>
          <w:p w14:paraId="75B6DB2C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2B4DEAD3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2C7125B4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5B8A262A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1100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1BBC958A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12</w:t>
            </w:r>
          </w:p>
          <w:p w14:paraId="189996E1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7E0EAA4E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1F8F10B1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3</w:t>
            </w:r>
          </w:p>
          <w:p w14:paraId="24E0D37B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7652A6AB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79A1547B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41BBC6E6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1059</w:t>
            </w:r>
          </w:p>
        </w:tc>
      </w:tr>
      <w:tr w14:paraId="5A72A92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4F81BD" w:themeFill="accent1"/>
          </w:tcPr>
          <w:p w14:paraId="7A140A2B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  <w:p w14:paraId="6DD71505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Povećanje broja objava na portalu</w:t>
            </w:r>
          </w:p>
          <w:p w14:paraId="6F4E5554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  <w:p w14:paraId="2B2C62BD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14:paraId="60D4C3CD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5D6872D3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Broj objava na portalu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C9BC8D2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1A2DD4CE">
            <w:pPr>
              <w:spacing w:after="0" w:line="240" w:lineRule="auto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1850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B1C85FC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</w:p>
          <w:p w14:paraId="00BC50E1">
            <w:pPr>
              <w:spacing w:after="0" w:line="240" w:lineRule="auto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1830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E31C330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2677646B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1830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A6573D1">
            <w:pPr>
              <w:spacing w:after="0" w:line="240" w:lineRule="auto"/>
              <w:rPr>
                <w:rFonts w:cstheme="minorHAnsi"/>
                <w:u w:val="single"/>
              </w:rPr>
            </w:pPr>
          </w:p>
          <w:p w14:paraId="30C6ECAE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1930</w:t>
            </w:r>
          </w:p>
        </w:tc>
      </w:tr>
    </w:tbl>
    <w:p w14:paraId="74755BE7">
      <w:pPr>
        <w:spacing w:after="0" w:line="360" w:lineRule="auto"/>
        <w:jc w:val="both"/>
        <w:rPr>
          <w:rFonts w:cstheme="minorHAnsi"/>
        </w:rPr>
      </w:pPr>
    </w:p>
    <w:p w14:paraId="4DB64FCA">
      <w:pPr>
        <w:spacing w:after="0" w:line="360" w:lineRule="auto"/>
        <w:jc w:val="both"/>
        <w:rPr>
          <w:rFonts w:cstheme="minorHAnsi"/>
        </w:rPr>
      </w:pPr>
    </w:p>
    <w:p w14:paraId="6C6F1649">
      <w:pPr>
        <w:spacing w:after="0" w:line="360" w:lineRule="auto"/>
        <w:jc w:val="both"/>
        <w:rPr>
          <w:rFonts w:cstheme="minorHAnsi"/>
        </w:rPr>
      </w:pPr>
    </w:p>
    <w:p w14:paraId="27C9A59B">
      <w:pPr>
        <w:spacing w:after="0" w:line="360" w:lineRule="auto"/>
        <w:jc w:val="both"/>
        <w:rPr>
          <w:rFonts w:cstheme="minorHAnsi"/>
        </w:rPr>
      </w:pPr>
    </w:p>
    <w:p w14:paraId="051626C7">
      <w:pPr>
        <w:pStyle w:val="11"/>
        <w:numPr>
          <w:ilvl w:val="0"/>
          <w:numId w:val="6"/>
        </w:num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Program / Organizacija kulturnih i zabavnih aktivnosti</w:t>
      </w:r>
    </w:p>
    <w:p w14:paraId="19051892">
      <w:pPr>
        <w:pStyle w:val="11"/>
        <w:spacing w:after="0" w:line="360" w:lineRule="auto"/>
        <w:jc w:val="both"/>
        <w:rPr>
          <w:rFonts w:cstheme="minorHAnsi"/>
          <w:b/>
        </w:rPr>
      </w:pPr>
    </w:p>
    <w:p w14:paraId="6A9D315F">
      <w:pPr>
        <w:jc w:val="both"/>
        <w:rPr>
          <w:rFonts w:cstheme="minorHAnsi"/>
        </w:rPr>
      </w:pPr>
      <w:r>
        <w:rPr>
          <w:rFonts w:cstheme="minorHAnsi"/>
        </w:rPr>
        <w:t>Organizacijom većeg broja kulturnih i zabavnih aktivnosti u KIC-u Gospić nastojimo stvoriti pozitivno kreativno i kulturno okruženje u gradu Gospiću, kao i podignuti svijest građana na višu kulturnu razinu. U tom naumu smo zasigurno uspjeli u 2024 godini organizacijom većeg broja koncerata, projekcija, radionica, izložbi, predstava i ljetnog kina. Djeci, mladima i odraslima ponudit ćemo pristupačno okruženje kao podlogu za daljnji razvoj vještina, kompetencija te formalnog, ali i iskustvenog učenja. Približiti im kulturu kao sastavni dio njihovog odrastanja, osobnog rasta i razvoja. U organizaciji ovakvog vida kulturne ponude za građane grada Gospića u budućnosti se vidimo kao jedno od gradskih kulturnih centara koji promovira nove forme u skladu sa svjetskim spoznajama i suvremenim tokovima.</w:t>
      </w:r>
    </w:p>
    <w:p w14:paraId="22A241F6">
      <w:pPr>
        <w:jc w:val="both"/>
        <w:rPr>
          <w:rFonts w:cstheme="minorHAnsi"/>
        </w:rPr>
      </w:pPr>
      <w:r>
        <w:rPr>
          <w:rFonts w:cstheme="minorHAnsi"/>
        </w:rPr>
        <w:t>Također, tijekom godine obilježavamo i Dječji tjedan izvedbom prikladne predstave za djecu. U prosincu tradicionalno sudjelujemo u adventskim događanjima pa tako      održavamo radionice i ostala događanja za djecu. Ne smijemo zaboraviti i tradicionalne Dječje maškare u veljači, kao niti edukativne radionice za odrasle tijekom cijele godine.</w:t>
      </w:r>
    </w:p>
    <w:p w14:paraId="1668691C">
      <w:pPr>
        <w:spacing w:after="0" w:line="360" w:lineRule="auto"/>
        <w:rPr>
          <w:rFonts w:cstheme="minorHAnsi"/>
          <w:b/>
        </w:rPr>
      </w:pPr>
    </w:p>
    <w:p w14:paraId="4307ED3A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12. Rashodi prema programskoj klasifikaciji ( Radio Gospić ) i izvorima financiranja</w:t>
      </w:r>
    </w:p>
    <w:tbl>
      <w:tblPr>
        <w:tblStyle w:val="3"/>
        <w:tblW w:w="140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020"/>
        <w:gridCol w:w="5938"/>
        <w:gridCol w:w="1871"/>
        <w:gridCol w:w="1721"/>
        <w:gridCol w:w="1377"/>
      </w:tblGrid>
      <w:tr w14:paraId="0A15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7B64AAD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Funkcijska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FFB98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Projekt/Aktivnost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vAlign w:val="bottom"/>
          </w:tcPr>
          <w:p w14:paraId="52044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VRSTA RASHODA I IZDATAKA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099D1B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6B3E51F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0DB59E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2/1</w:t>
            </w:r>
          </w:p>
        </w:tc>
      </w:tr>
      <w:tr w14:paraId="3D8A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4DFDF0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21F62B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4004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vAlign w:val="bottom"/>
          </w:tcPr>
          <w:p w14:paraId="7BF38B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Program: Organizacija kulturnih i zabavnih aktivnosti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49476E5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59.481,33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4621B3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56.562,22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bottom"/>
          </w:tcPr>
          <w:p w14:paraId="52B9D0C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95,09%</w:t>
            </w:r>
          </w:p>
        </w:tc>
      </w:tr>
      <w:tr w14:paraId="2AB1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08F1D1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0820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3FFF2D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A100001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bottom"/>
          </w:tcPr>
          <w:p w14:paraId="3B773B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Aktivnost: Organizacija kulturnih i zabavnih aktivnosti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683DFB9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46.711,00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2CEAB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43.746,28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434434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93,65%</w:t>
            </w:r>
          </w:p>
        </w:tc>
      </w:tr>
      <w:tr w14:paraId="1A5B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07BAA0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1DBE0F2E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1. OPĆI PRIHODI I PRIMICI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1F591D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11.050,00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8C6A2D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9.434,58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760DF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85,38%</w:t>
            </w:r>
          </w:p>
        </w:tc>
      </w:tr>
      <w:tr w14:paraId="6D88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9258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4DCF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9C5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35FB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10.050,00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C9F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8.514,23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9EE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84,72%</w:t>
            </w:r>
          </w:p>
        </w:tc>
      </w:tr>
      <w:tr w14:paraId="512E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1EF5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DE3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D687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Zakupnine i najamnine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D23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5CF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3.750,00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7B6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34D7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FE299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4BD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3237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69C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Intelektualne i osobne usluge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3A9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210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4.764,23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AC5E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23EAF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0C0E2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463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C4D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Rashodi za nabavu proizvedene dugotrajne imovine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223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1.000,00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5A42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920,35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75D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92,04%</w:t>
            </w:r>
          </w:p>
        </w:tc>
      </w:tr>
      <w:tr w14:paraId="4A6B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1A39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D46B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4221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F73F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Uredska oprema i namještaj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9004B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18A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920,35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000F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E769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1A91BB17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3C31760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3. VLASTITI PRIHODI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4E64BCA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31.161,00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09A6396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29.146,74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48F4B2A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93,54%</w:t>
            </w:r>
          </w:p>
        </w:tc>
      </w:tr>
      <w:tr w14:paraId="6372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D8D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7A6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395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21B8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30.161,00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620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27.926,49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6D76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92,59%</w:t>
            </w:r>
          </w:p>
        </w:tc>
      </w:tr>
      <w:tr w14:paraId="7A53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0720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Funkcijska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CE0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Projekt/Aktivnost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3455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VRSTA RASHODA I IZDATAKA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84DB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A80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37D1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2/1</w:t>
            </w:r>
          </w:p>
        </w:tc>
      </w:tr>
      <w:tr w14:paraId="750A5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610A06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Funkcijska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58A1573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Projekt/Aktivnost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409CF57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VRSTA RASHODA I IZDATAKA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608187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64281A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6C09" w:themeFill="accent6" w:themeFillShade="BF"/>
            <w:noWrap/>
            <w:vAlign w:val="bottom"/>
          </w:tcPr>
          <w:p w14:paraId="719ED2D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2/1</w:t>
            </w:r>
          </w:p>
        </w:tc>
      </w:tr>
      <w:tr w14:paraId="0AFD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BD9F1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CD49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3235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4E7F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Zakupnine i najamnine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3EEA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699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1.716,25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BD1D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4E03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57B8C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1780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3237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5CFD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Intelektualne i osobne usluge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4947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0C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15.507,83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A9B4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8CB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71C80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D41F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3239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8E7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Ostale usluge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2082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FA8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6.149,74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0781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03844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DB3C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601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3293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C234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Reprezentacija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1CF7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16B2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4.552,67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9F18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5FD51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B0905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5AA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42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0BE7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Rashodi za nabavu proizvedene dugotrajne imovine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756A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1.000,00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4682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1.220,25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CD3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122,03%</w:t>
            </w:r>
          </w:p>
        </w:tc>
      </w:tr>
      <w:tr w14:paraId="3EB2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55B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2808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4221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A946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Uredska oprema i namještaj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B7AC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1CB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1.220,25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28077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71E1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383F944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7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58FEA0E2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5. Pomoći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B6EEF9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4.500,00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29EB615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5.164,96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4602BB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114,78%</w:t>
            </w:r>
          </w:p>
        </w:tc>
      </w:tr>
      <w:tr w14:paraId="2494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E6A0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771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EFF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E00A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4.500,00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B4D3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5.164,96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CD6B2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114,78%</w:t>
            </w:r>
          </w:p>
        </w:tc>
      </w:tr>
      <w:tr w14:paraId="0625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43F7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4EF6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3237</w:t>
            </w:r>
          </w:p>
        </w:tc>
        <w:tc>
          <w:tcPr>
            <w:tcW w:w="5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0735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Intelektualne i osobne usluge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06C52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6212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5.164,96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22FE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08737B7A">
      <w:pPr>
        <w:spacing w:after="0" w:line="360" w:lineRule="auto"/>
        <w:jc w:val="both"/>
        <w:rPr>
          <w:rFonts w:cstheme="minorHAnsi"/>
          <w:b/>
        </w:rPr>
      </w:pPr>
    </w:p>
    <w:p w14:paraId="1851B1A4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Programska aktivnost Organizacija kulturnih i zabavnih aktivnosti financira se iz Općih prihoda i rashoda ( Izvor 1) .</w:t>
      </w:r>
    </w:p>
    <w:p w14:paraId="4DC4E104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U izvještajnom razdoblju od 01.01.2025.-31.12.2025. godine ostvaren je rashod u iznosu od 9.434,58 €, 14,62 % manje u odnosu na tekući plan.</w:t>
      </w:r>
    </w:p>
    <w:p w14:paraId="14F92940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Iz vlastitih izvora ( Izvor 3. ) ostvaren je rashod u iznosu od 29.146,74 €, 6,46 %  manje od tekućeg plana za 2025. godinu.</w:t>
      </w:r>
    </w:p>
    <w:p w14:paraId="46C7ADE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Iz izvora 5. Pomoći ostvareni su rashodi u iznosu od 5.164,96 % , 14,78 % više  od tekućeg plana za 2025. godinu.</w:t>
      </w:r>
    </w:p>
    <w:p w14:paraId="540CC210">
      <w:pPr>
        <w:spacing w:after="0"/>
        <w:jc w:val="both"/>
        <w:rPr>
          <w:rFonts w:cstheme="minorHAnsi"/>
          <w:bCs/>
        </w:rPr>
      </w:pPr>
    </w:p>
    <w:p w14:paraId="2A9AE2A2">
      <w:pPr>
        <w:rPr>
          <w:rFonts w:cstheme="minorHAnsi"/>
          <w:bCs/>
          <w:color w:val="000000"/>
          <w:u w:val="single"/>
        </w:rPr>
      </w:pPr>
      <w:r>
        <w:rPr>
          <w:rFonts w:cstheme="minorHAnsi"/>
          <w:bCs/>
          <w:color w:val="000000"/>
          <w:u w:val="single"/>
        </w:rPr>
        <w:t xml:space="preserve">Opći cilj:    </w:t>
      </w:r>
    </w:p>
    <w:p w14:paraId="62D9C0FE">
      <w:pPr>
        <w:rPr>
          <w:rFonts w:cstheme="minorHAnsi"/>
        </w:rPr>
      </w:pPr>
      <w:r>
        <w:rPr>
          <w:rFonts w:cstheme="minorHAnsi"/>
        </w:rPr>
        <w:t>Obogaćivanje  kulturne ponude grada Gospića kroz organizaciju svih oblika kulturnih, umjetničkih i obrazovnih programa, manifestacija, obilježavanje važnih datuma na lokalnoj, županijskoj i državnoj razini, ali i obilježavanje svjetskih datuma te ostalih događanja važnih za dobrobit građanstva.</w:t>
      </w:r>
    </w:p>
    <w:p w14:paraId="7F99363F">
      <w:pPr>
        <w:rPr>
          <w:rFonts w:cstheme="minorHAnsi"/>
        </w:rPr>
      </w:pPr>
    </w:p>
    <w:p w14:paraId="5C96FD91">
      <w:pPr>
        <w:rPr>
          <w:rFonts w:cstheme="minorHAnsi"/>
        </w:rPr>
      </w:pPr>
    </w:p>
    <w:p w14:paraId="0A1A3ECE">
      <w:pPr>
        <w:rPr>
          <w:rFonts w:cstheme="minorHAnsi"/>
        </w:rPr>
      </w:pPr>
    </w:p>
    <w:p w14:paraId="034F9759">
      <w:pPr>
        <w:rPr>
          <w:rFonts w:cstheme="minorHAnsi"/>
        </w:rPr>
      </w:pPr>
    </w:p>
    <w:p w14:paraId="571D7D4B">
      <w:pPr>
        <w:rPr>
          <w:rFonts w:cstheme="minorHAnsi"/>
        </w:rPr>
      </w:pPr>
    </w:p>
    <w:p w14:paraId="7670C93A">
      <w:pPr>
        <w:rPr>
          <w:rFonts w:cstheme="minorHAnsi"/>
        </w:rPr>
      </w:pPr>
    </w:p>
    <w:p w14:paraId="2BA4E4F7">
      <w:pPr>
        <w:pStyle w:val="10"/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Pokazatelji uspješnosti provođenja programa:</w:t>
      </w:r>
    </w:p>
    <w:p w14:paraId="0C138144">
      <w:pPr>
        <w:pStyle w:val="10"/>
        <w:spacing w:line="360" w:lineRule="auto"/>
        <w:rPr>
          <w:rFonts w:cstheme="minorHAnsi"/>
          <w:u w:val="single"/>
        </w:rPr>
      </w:pPr>
    </w:p>
    <w:p w14:paraId="03533D54">
      <w:pPr>
        <w:pStyle w:val="10"/>
        <w:spacing w:line="360" w:lineRule="auto"/>
        <w:rPr>
          <w:rFonts w:cstheme="minorHAnsi"/>
          <w:u w:val="single"/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 xml:space="preserve">Tablica 13. Prikaz pokazatelja uspješnosti za tekuću i prethodnu godinu( Program / Organizacija kulturnih i zabavnih aktivnosti  ) </w:t>
      </w:r>
    </w:p>
    <w:tbl>
      <w:tblPr>
        <w:tblStyle w:val="21"/>
        <w:tblW w:w="0" w:type="auto"/>
        <w:tblInd w:w="0" w:type="dxa"/>
        <w:tblBorders>
          <w:top w:val="single" w:color="95B3D7" w:themeColor="accent1" w:themeTint="99" w:sz="4" w:space="0"/>
          <w:left w:val="single" w:color="95B3D7" w:themeColor="accent1" w:themeTint="99" w:sz="4" w:space="0"/>
          <w:bottom w:val="single" w:color="95B3D7" w:themeColor="accent1" w:themeTint="99" w:sz="4" w:space="0"/>
          <w:right w:val="single" w:color="95B3D7" w:themeColor="accent1" w:themeTint="99" w:sz="4" w:space="0"/>
          <w:insideH w:val="single" w:color="95B3D7" w:themeColor="accent1" w:themeTint="99" w:sz="4" w:space="0"/>
          <w:insideV w:val="single" w:color="95B3D7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406"/>
        <w:gridCol w:w="1580"/>
        <w:gridCol w:w="1784"/>
        <w:gridCol w:w="1580"/>
        <w:gridCol w:w="1580"/>
        <w:gridCol w:w="1784"/>
      </w:tblGrid>
      <w:tr w14:paraId="31DA848F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8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6FF0B085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Pokazatelj rezultata</w:t>
            </w:r>
          </w:p>
        </w:tc>
        <w:tc>
          <w:tcPr>
            <w:tcW w:w="1559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7FB0C185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Jedinica mjere</w:t>
            </w:r>
          </w:p>
        </w:tc>
        <w:tc>
          <w:tcPr>
            <w:tcW w:w="1406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3AFCF80A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Planirano 2024.</w:t>
            </w:r>
          </w:p>
        </w:tc>
        <w:tc>
          <w:tcPr>
            <w:tcW w:w="1580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15C460B1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Realizirano 2024.</w:t>
            </w:r>
          </w:p>
        </w:tc>
        <w:tc>
          <w:tcPr>
            <w:tcW w:w="1784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2458977B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Broj posjetitelja/2024</w:t>
            </w:r>
          </w:p>
          <w:p w14:paraId="7D82525E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580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0B9ECD8C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  <w:t>Planirano 2025.</w:t>
            </w:r>
          </w:p>
        </w:tc>
        <w:tc>
          <w:tcPr>
            <w:tcW w:w="1580" w:type="dxa"/>
            <w:tcBorders>
              <w:top w:val="single" w:color="4F81BD" w:themeColor="accent1" w:sz="4" w:space="0"/>
              <w:bottom w:val="single" w:color="4F81BD" w:themeColor="accent1" w:sz="4" w:space="0"/>
              <w:right w:val="nil"/>
              <w:insideH w:val="single" w:sz="4" w:space="0"/>
              <w:insideV w:val="nil"/>
            </w:tcBorders>
            <w:shd w:val="clear" w:color="auto" w:fill="4F81BD" w:themeFill="accent1"/>
          </w:tcPr>
          <w:p w14:paraId="66402ED3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  <w:t>Realizirano 2025.</w:t>
            </w:r>
          </w:p>
        </w:tc>
        <w:tc>
          <w:tcPr>
            <w:tcW w:w="1784" w:type="dxa"/>
            <w:tcBorders>
              <w:top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  <w:insideH w:val="single" w:sz="4" w:space="0"/>
              <w:insideV w:val="nil"/>
            </w:tcBorders>
            <w:shd w:val="clear" w:color="auto" w:fill="4F81BD" w:themeFill="accent1"/>
          </w:tcPr>
          <w:p w14:paraId="475152FB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  <w:t>Broj posjetitelja/2025</w:t>
            </w:r>
          </w:p>
          <w:p w14:paraId="15E94A77">
            <w:pPr>
              <w:spacing w:after="0" w:line="240" w:lineRule="auto"/>
              <w:rPr>
                <w:rFonts w:cstheme="minorHAnsi"/>
                <w:b/>
                <w:bCs/>
                <w:color w:val="FFFFFF" w:themeColor="background1"/>
                <w:u w:val="single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1D54B98">
        <w:tblPrEx>
          <w:tblBorders>
            <w:top w:val="single" w:color="95B3D7" w:themeColor="accent1" w:themeTint="99" w:sz="4" w:space="0"/>
            <w:left w:val="single" w:color="95B3D7" w:themeColor="accent1" w:themeTint="99" w:sz="4" w:space="0"/>
            <w:bottom w:val="single" w:color="95B3D7" w:themeColor="accent1" w:themeTint="99" w:sz="4" w:space="0"/>
            <w:right w:val="single" w:color="95B3D7" w:themeColor="accent1" w:themeTint="99" w:sz="4" w:space="0"/>
            <w:insideH w:val="single" w:color="95B3D7" w:themeColor="accent1" w:themeTint="99" w:sz="4" w:space="0"/>
            <w:insideV w:val="single" w:color="95B3D7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838" w:type="dxa"/>
            <w:shd w:val="clear" w:color="auto" w:fill="DBE5F1" w:themeFill="accent1" w:themeFillTint="33"/>
          </w:tcPr>
          <w:p w14:paraId="271C26CF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u w:val="single"/>
              </w:rPr>
              <w:t>Povećanje broja kulturnih, zabavnih, edukativnih aktivnosti</w:t>
            </w:r>
          </w:p>
          <w:p w14:paraId="7E09AA43">
            <w:pPr>
              <w:spacing w:after="0" w:line="240" w:lineRule="auto"/>
              <w:rPr>
                <w:rFonts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3D5CF17">
            <w:pPr>
              <w:spacing w:after="0" w:line="240" w:lineRule="auto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Broj organiziranih kulturnih i zabavnih aktivnosti</w:t>
            </w:r>
          </w:p>
        </w:tc>
        <w:tc>
          <w:tcPr>
            <w:tcW w:w="1406" w:type="dxa"/>
            <w:shd w:val="clear" w:color="auto" w:fill="DBE5F1" w:themeFill="accent1" w:themeFillTint="33"/>
          </w:tcPr>
          <w:p w14:paraId="4C767DD8">
            <w:pPr>
              <w:spacing w:after="0" w:line="240" w:lineRule="auto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24</w:t>
            </w:r>
          </w:p>
        </w:tc>
        <w:tc>
          <w:tcPr>
            <w:tcW w:w="1580" w:type="dxa"/>
            <w:shd w:val="clear" w:color="auto" w:fill="DBE5F1" w:themeFill="accent1" w:themeFillTint="33"/>
          </w:tcPr>
          <w:p w14:paraId="78C6B529">
            <w:pPr>
              <w:spacing w:after="0" w:line="240" w:lineRule="auto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14</w:t>
            </w:r>
          </w:p>
        </w:tc>
        <w:tc>
          <w:tcPr>
            <w:tcW w:w="1784" w:type="dxa"/>
            <w:shd w:val="clear" w:color="auto" w:fill="DBE5F1" w:themeFill="accent1" w:themeFillTint="33"/>
          </w:tcPr>
          <w:p w14:paraId="7A20E319">
            <w:pPr>
              <w:spacing w:after="0" w:line="240" w:lineRule="auto"/>
              <w:jc w:val="center"/>
              <w:rPr>
                <w:rFonts w:cstheme="minorHAnsi"/>
                <w:color w:val="000000"/>
                <w:u w:val="single"/>
              </w:rPr>
            </w:pPr>
            <w:r>
              <w:rPr>
                <w:rFonts w:cstheme="minorHAnsi"/>
                <w:color w:val="000000"/>
                <w:u w:val="single"/>
              </w:rPr>
              <w:t>1750</w:t>
            </w:r>
          </w:p>
        </w:tc>
        <w:tc>
          <w:tcPr>
            <w:tcW w:w="1580" w:type="dxa"/>
            <w:shd w:val="clear" w:color="auto" w:fill="DBE5F1" w:themeFill="accent1" w:themeFillTint="33"/>
          </w:tcPr>
          <w:p w14:paraId="5AB52400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24</w:t>
            </w:r>
          </w:p>
        </w:tc>
        <w:tc>
          <w:tcPr>
            <w:tcW w:w="1580" w:type="dxa"/>
            <w:shd w:val="clear" w:color="auto" w:fill="DBE5F1" w:themeFill="accent1" w:themeFillTint="33"/>
          </w:tcPr>
          <w:p w14:paraId="7232FFD2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15</w:t>
            </w:r>
          </w:p>
        </w:tc>
        <w:tc>
          <w:tcPr>
            <w:tcW w:w="1784" w:type="dxa"/>
            <w:shd w:val="clear" w:color="auto" w:fill="DBE5F1" w:themeFill="accent1" w:themeFillTint="33"/>
          </w:tcPr>
          <w:p w14:paraId="298D03BE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2350</w:t>
            </w:r>
          </w:p>
        </w:tc>
      </w:tr>
    </w:tbl>
    <w:p w14:paraId="5A6F40C1">
      <w:pPr>
        <w:pStyle w:val="4"/>
        <w:keepNext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Grafikon 3 . Prikaz planiranih i provedenih kulturnih i zabavnih aktivnosti u 2024. i 2025. godini</w:t>
      </w:r>
    </w:p>
    <w:p w14:paraId="4DA4B54A">
      <w:pPr>
        <w:keepNext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drawing>
          <wp:inline distT="0" distB="0" distL="0" distR="0">
            <wp:extent cx="8001000" cy="2409825"/>
            <wp:effectExtent l="0" t="0" r="0" b="9525"/>
            <wp:docPr id="184925216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6C8746">
      <w:pPr>
        <w:spacing w:after="0" w:line="360" w:lineRule="auto"/>
        <w:jc w:val="both"/>
        <w:rPr>
          <w:rFonts w:cstheme="minorHAnsi"/>
        </w:rPr>
      </w:pPr>
    </w:p>
    <w:p w14:paraId="64486C24">
      <w:pPr>
        <w:spacing w:after="0" w:line="360" w:lineRule="auto"/>
        <w:jc w:val="both"/>
        <w:rPr>
          <w:rFonts w:cstheme="minorHAnsi"/>
        </w:rPr>
      </w:pPr>
    </w:p>
    <w:p w14:paraId="2604CAB3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- </w:t>
      </w:r>
      <w:r>
        <w:rPr>
          <w:rFonts w:cstheme="minorHAnsi"/>
          <w:b/>
          <w:bCs/>
        </w:rPr>
        <w:t>Program</w:t>
      </w:r>
      <w:r>
        <w:rPr>
          <w:rFonts w:cstheme="minorHAnsi"/>
        </w:rPr>
        <w:t xml:space="preserve"> / </w:t>
      </w:r>
      <w:r>
        <w:rPr>
          <w:rFonts w:cstheme="minorHAnsi"/>
          <w:b/>
          <w:bCs/>
        </w:rPr>
        <w:t>Provedba edukativnih, kulturnih i sportskih aktivnosti</w:t>
      </w:r>
    </w:p>
    <w:p w14:paraId="53F26FA1">
      <w:pPr>
        <w:spacing w:after="0" w:line="360" w:lineRule="auto"/>
        <w:jc w:val="both"/>
        <w:rPr>
          <w:rFonts w:cstheme="minorHAnsi"/>
          <w:b/>
          <w:bCs/>
        </w:rPr>
      </w:pPr>
    </w:p>
    <w:p w14:paraId="78D20951">
      <w:pPr>
        <w:rPr>
          <w:rFonts w:cstheme="minorHAnsi"/>
        </w:rPr>
      </w:pPr>
      <w:r>
        <w:rPr>
          <w:rFonts w:cstheme="minorHAnsi"/>
        </w:rPr>
        <w:t>U 2025. godini u sklopu projekta za provedbu edukativnih, sportskih i kulturnih aktivnosti djece predškolske dobi i djece od 1. do 4. razreda osnovne škole kojemu je prijavitelj Grad Gospić provodi se niz aktivnosti među kojima su radionice „STEM TESLA LAB“ i „Mali novinari.“ Te dvije radionice nastavljaju svoju realizaciju i u 2025. godini, a pridružuju im se: radionica „Čuvam svoj okoliš“, „Volim hrvatski jezik“ i „Mentalno zdravlje.“ Ovaj projekt financiran je sredstvima Ministarstva demografije i useljeništva.</w:t>
      </w:r>
    </w:p>
    <w:p w14:paraId="563124E8">
      <w:pPr>
        <w:spacing w:after="0"/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14. Rashodi prema programskoj klasifikaciji ( Radio Gospić ) i izvorima financiranja</w:t>
      </w:r>
    </w:p>
    <w:tbl>
      <w:tblPr>
        <w:tblStyle w:val="3"/>
        <w:tblW w:w="129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025"/>
        <w:gridCol w:w="4980"/>
        <w:gridCol w:w="1875"/>
        <w:gridCol w:w="1725"/>
        <w:gridCol w:w="1380"/>
      </w:tblGrid>
      <w:tr w14:paraId="44466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05BE2E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Funkcijska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6C0B05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Projekt/Aktivnost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7DEE05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VRSTA RASHODA I IZDATAKA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2F603F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Izvorni plan 2025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A7DFCE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Izvršenje 2025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6E5B6BE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Indeks 2/1</w:t>
            </w:r>
          </w:p>
        </w:tc>
      </w:tr>
      <w:tr w14:paraId="7604A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6BAE04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0820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0DF01C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T400208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4F6F73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Tekući projekt: Provedba edukativnih,kulturnih i sportskih aktivnosti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01BB9CE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12.770,33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158015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12.815,94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/>
            <w:vAlign w:val="bottom"/>
          </w:tcPr>
          <w:p w14:paraId="6DB93A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100,36%</w:t>
            </w:r>
          </w:p>
        </w:tc>
      </w:tr>
      <w:tr w14:paraId="7821F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2C6A642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0890E93D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Izvor 1. OPĆI PRIHODI I PRIMICI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A507E0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12.770,33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3D00E86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12.815,94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FF"/>
            <w:noWrap/>
            <w:vAlign w:val="bottom"/>
          </w:tcPr>
          <w:p w14:paraId="66E19BC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100,36%</w:t>
            </w:r>
          </w:p>
        </w:tc>
      </w:tr>
      <w:tr w14:paraId="33F1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FA0C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333333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80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2A6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375D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12.770,33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11D3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12.815,94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CBA7D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100,36%</w:t>
            </w:r>
          </w:p>
        </w:tc>
      </w:tr>
      <w:tr w14:paraId="34F3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897D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6814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4B518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Uredski materijal i ostali materijalni rashodi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3406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A3D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4.585,55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1DC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14:paraId="6830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13FDB3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8BF0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3237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450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Intelektualne i osobne usluge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A34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FAF4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8.230,39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350D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004026AA">
      <w:pPr>
        <w:spacing w:after="0" w:line="360" w:lineRule="auto"/>
        <w:jc w:val="both"/>
        <w:rPr>
          <w:rFonts w:cstheme="minorHAnsi"/>
          <w:b/>
          <w:bCs/>
        </w:rPr>
      </w:pPr>
    </w:p>
    <w:p w14:paraId="7734B0FD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Programska aktivnost Provedba edukativnih, kulturnih i sportskih aktivnosti financira se iz Općih prihoda i rashoda ( Izvor 1) .</w:t>
      </w:r>
    </w:p>
    <w:p w14:paraId="3B76CA87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U izvještajnom razdoblju od 01.01.2025.-31.12.2025.godine ostvaren je rashod u iznosu od 12.815,94 €.</w:t>
      </w:r>
    </w:p>
    <w:p w14:paraId="20E0ED4D">
      <w:pPr>
        <w:spacing w:after="0"/>
        <w:ind w:firstLine="330" w:firstLineChars="150"/>
        <w:jc w:val="both"/>
        <w:rPr>
          <w:rFonts w:cstheme="minorHAnsi"/>
          <w:color w:val="C00000"/>
        </w:rPr>
      </w:pPr>
    </w:p>
    <w:p w14:paraId="319D9B2C">
      <w:pPr>
        <w:pStyle w:val="10"/>
        <w:spacing w:line="36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Pokazatelji uspješnosti provođenja programa:</w:t>
      </w:r>
    </w:p>
    <w:p w14:paraId="725D07F0">
      <w:pPr>
        <w:pStyle w:val="10"/>
        <w:spacing w:line="360" w:lineRule="auto"/>
        <w:rPr>
          <w:rFonts w:cstheme="minorHAnsi"/>
          <w:u w:val="single"/>
        </w:rPr>
      </w:pPr>
    </w:p>
    <w:p w14:paraId="0656BE81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color w:val="4F81BD" w:themeColor="accent1"/>
          <w14:textFill>
            <w14:solidFill>
              <w14:schemeClr w14:val="accent1"/>
            </w14:solidFill>
          </w14:textFill>
        </w:rPr>
        <w:t>Tablica 14. Prikaz pokazatelja uspješnosti za tekuću i prethodnu godinu (Program / Provedba edukativnih, kulturnih i sportskih aktivnosti)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89"/>
        <w:gridCol w:w="1580"/>
        <w:gridCol w:w="1580"/>
        <w:gridCol w:w="1580"/>
        <w:gridCol w:w="1580"/>
        <w:gridCol w:w="1580"/>
        <w:gridCol w:w="1580"/>
      </w:tblGrid>
      <w:tr w14:paraId="1F38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48D71455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Pokazatelj rezultata</w:t>
            </w:r>
          </w:p>
        </w:tc>
        <w:tc>
          <w:tcPr>
            <w:tcW w:w="1889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7E33E6EE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Jedinica mjere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282F2170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Planirano 2024.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33228B99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Realizirano 2024.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6043D445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Broj posjetitelja</w:t>
            </w:r>
          </w:p>
          <w:p w14:paraId="1F5971F5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2024.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45757B4D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Planirano 2025.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470814C2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Realizirano 2025.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</w:tcPr>
          <w:p w14:paraId="1C1143E0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Broj posjetitelja</w:t>
            </w:r>
          </w:p>
          <w:p w14:paraId="5D65A358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2025.</w:t>
            </w:r>
          </w:p>
        </w:tc>
      </w:tr>
      <w:tr w14:paraId="05A1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4BD33A1B">
            <w:pPr>
              <w:spacing w:after="0" w:line="240" w:lineRule="auto"/>
              <w:rPr>
                <w:rFonts w:cstheme="minorHAnsi"/>
                <w:u w:val="single"/>
              </w:rPr>
            </w:pPr>
          </w:p>
        </w:tc>
        <w:tc>
          <w:tcPr>
            <w:tcW w:w="1889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0168EB24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Broj organiziranih radionica za djecu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31116293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02FF7879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1DBD7B7C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150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093704C1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6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1EBE1188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6</w:t>
            </w:r>
          </w:p>
        </w:tc>
        <w:tc>
          <w:tcPr>
            <w:tcW w:w="158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DBE5F1"/>
          </w:tcPr>
          <w:p w14:paraId="7CB34D15">
            <w:pPr>
              <w:spacing w:after="0" w:line="240" w:lineRule="auto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400</w:t>
            </w:r>
          </w:p>
        </w:tc>
      </w:tr>
    </w:tbl>
    <w:p w14:paraId="637E5B43">
      <w:pPr>
        <w:spacing w:after="0" w:line="360" w:lineRule="auto"/>
        <w:jc w:val="both"/>
        <w:rPr>
          <w:rFonts w:cstheme="minorHAnsi"/>
          <w:b/>
          <w:bCs/>
        </w:rPr>
      </w:pPr>
    </w:p>
    <w:p w14:paraId="0F0ED3C9">
      <w:pPr>
        <w:pStyle w:val="11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POSEBNI IZVJEŠTAJI</w:t>
      </w:r>
    </w:p>
    <w:p w14:paraId="4771B485">
      <w:pPr>
        <w:pStyle w:val="11"/>
        <w:spacing w:after="0" w:line="360" w:lineRule="auto"/>
        <w:ind w:left="360"/>
        <w:jc w:val="both"/>
        <w:rPr>
          <w:rFonts w:cstheme="minorHAnsi"/>
          <w:b/>
          <w:bCs/>
        </w:rPr>
      </w:pPr>
    </w:p>
    <w:p w14:paraId="46DF86FB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Izvještaj o zaduživanju na domaćem i stranom tržištu novca i kapitala</w:t>
      </w:r>
    </w:p>
    <w:p w14:paraId="105952CD">
      <w:pPr>
        <w:rPr>
          <w:rFonts w:cstheme="minorHAnsi"/>
        </w:rPr>
      </w:pPr>
      <w:r>
        <w:rPr>
          <w:rFonts w:cstheme="minorHAnsi"/>
        </w:rPr>
        <w:t>Kulturno informativni centar Gospić, javna ustanova za kulturu u izvještajnom razdoblju nije ostvario zaduženja na domaćem i stranom tržištu novca i kapitala.</w:t>
      </w:r>
    </w:p>
    <w:p w14:paraId="0BFC6D61">
      <w:pPr>
        <w:rPr>
          <w:rFonts w:cstheme="minorHAnsi"/>
          <w:b/>
          <w:bCs/>
          <w:u w:val="single"/>
        </w:rPr>
      </w:pPr>
    </w:p>
    <w:p w14:paraId="4EAA3EE9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Izvještaj o korištenju sredstava fonda Europske unije</w:t>
      </w:r>
    </w:p>
    <w:p w14:paraId="781B44F0">
      <w:pPr>
        <w:rPr>
          <w:rFonts w:cstheme="minorHAnsi"/>
        </w:rPr>
      </w:pPr>
      <w:r>
        <w:rPr>
          <w:rFonts w:cstheme="minorHAnsi"/>
        </w:rPr>
        <w:t>Kulturno informativni centar Gospić, javna ustanova za kulturu u izvještajnom razdoblju nije koristio sredstva EU.</w:t>
      </w:r>
    </w:p>
    <w:p w14:paraId="5558E7FC">
      <w:pPr>
        <w:rPr>
          <w:rFonts w:cstheme="minorHAnsi"/>
        </w:rPr>
      </w:pPr>
    </w:p>
    <w:p w14:paraId="7F6FA0C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Izvještaj o stanju potraživanja i dospjelih obveza te o stanju potencijalnih obveza po osnovi sudskih sporova</w:t>
      </w:r>
    </w:p>
    <w:p w14:paraId="012F91BE">
      <w:pPr>
        <w:rPr>
          <w:rFonts w:hint="default" w:cstheme="minorHAnsi"/>
          <w:b w:val="0"/>
          <w:bCs w:val="0"/>
          <w:u w:val="none"/>
          <w:lang w:val="hr-HR"/>
        </w:rPr>
      </w:pPr>
      <w:r>
        <w:rPr>
          <w:rFonts w:hint="default" w:cstheme="minorHAnsi"/>
          <w:b w:val="0"/>
          <w:bCs w:val="0"/>
          <w:u w:val="none"/>
          <w:lang w:val="hr-HR"/>
        </w:rPr>
        <w:t>Izvještaj prikazuje podatke o stanju nenaplaćenih potraživanja za prihode proračunskog i izvanproračunskog korisnika na kraju proračunske godine, podatke o stanju nepodmirenih dospjelih obveza, podatke o stanju potencijalnih obveza po osnovi sudskih sporova.</w:t>
      </w:r>
    </w:p>
    <w:p w14:paraId="696F6AA7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cstheme="minorHAnsi"/>
          <w:b w:val="0"/>
          <w:bCs w:val="0"/>
          <w:u w:val="none"/>
          <w:lang w:val="hr-HR"/>
        </w:rPr>
      </w:pPr>
      <w:r>
        <w:rPr>
          <w:rFonts w:hint="default" w:cstheme="minorHAnsi"/>
          <w:b w:val="0"/>
          <w:bCs w:val="0"/>
          <w:u w:val="none"/>
          <w:lang w:val="hr-HR"/>
        </w:rPr>
        <w:t xml:space="preserve">Stanje neplaćenih potraživanja za prihode Kulturno Informativnog Centra Gospić, javne ustanove za kulturu za poslovnu godinu 2025. ( skupina 16 ) iznosi 4.064,08 </w:t>
      </w:r>
      <w:r>
        <w:rPr>
          <w:rFonts w:hint="default" w:ascii="Arial" w:hAnsi="Arial" w:cs="Arial"/>
          <w:b w:val="0"/>
          <w:bCs w:val="0"/>
          <w:u w:val="none"/>
          <w:lang w:val="hr-HR"/>
        </w:rPr>
        <w:t>ꞓ.</w:t>
      </w:r>
      <w:bookmarkStart w:id="7" w:name="_GoBack"/>
      <w:bookmarkEnd w:id="7"/>
    </w:p>
    <w:p w14:paraId="7BBB2EDA"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rPr>
          <w:rFonts w:hint="default" w:cstheme="minorHAnsi"/>
          <w:b w:val="0"/>
          <w:bCs w:val="0"/>
          <w:u w:val="none"/>
          <w:lang w:val="hr-HR"/>
        </w:rPr>
      </w:pPr>
      <w:r>
        <w:rPr>
          <w:rFonts w:hint="default" w:cstheme="minorHAnsi"/>
          <w:b w:val="0"/>
          <w:bCs w:val="0"/>
          <w:u w:val="none"/>
          <w:lang w:val="hr-HR"/>
        </w:rPr>
        <w:t>Kulturno Informativni Centra Gospić, javna ustanova za kulturu za poslovnu godinu 2025. nema dospjelih obveza.</w:t>
      </w:r>
    </w:p>
    <w:p w14:paraId="2A5846B4">
      <w:pPr>
        <w:numPr>
          <w:ilvl w:val="0"/>
          <w:numId w:val="8"/>
        </w:numPr>
        <w:ind w:left="420" w:leftChars="0" w:hanging="420" w:firstLineChars="0"/>
        <w:rPr>
          <w:rFonts w:hint="default" w:cstheme="minorHAnsi"/>
          <w:b w:val="0"/>
          <w:bCs w:val="0"/>
          <w:u w:val="none"/>
          <w:lang w:val="hr-HR"/>
        </w:rPr>
      </w:pPr>
      <w:r>
        <w:rPr>
          <w:rFonts w:cstheme="minorHAnsi"/>
        </w:rPr>
        <w:t>Kulturno informativni centar Gospić, javna ustanova za kulturu u izvještajnom razdoblju nema evidentirana potraživanja i obveze po osnovi sudskih sporova.</w:t>
      </w:r>
    </w:p>
    <w:p w14:paraId="3EA93267">
      <w:pPr>
        <w:rPr>
          <w:rFonts w:cstheme="minorHAnsi"/>
        </w:rPr>
      </w:pPr>
    </w:p>
    <w:p w14:paraId="4A5E0D25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Izvještaj o danim zajmovima i potraživanjima po danim zajmovima</w:t>
      </w:r>
    </w:p>
    <w:p w14:paraId="55D0B0CF">
      <w:pPr>
        <w:rPr>
          <w:rFonts w:cstheme="minorHAnsi"/>
        </w:rPr>
      </w:pPr>
      <w:r>
        <w:rPr>
          <w:rFonts w:cstheme="minorHAnsi"/>
        </w:rPr>
        <w:t>Kulturno informativni centar Gospić, javna ustanova za kulturu u izvještajnom razdoblju nije imao zajmove i potraživanje po danim zajmovima.</w:t>
      </w:r>
    </w:p>
    <w:p w14:paraId="64E30894">
      <w:pPr>
        <w:rPr>
          <w:rFonts w:cstheme="minorHAnsi"/>
        </w:rPr>
      </w:pPr>
    </w:p>
    <w:p w14:paraId="349CA62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Izvještaj o danim jamstvima i izdacima po jamstvima</w:t>
      </w:r>
    </w:p>
    <w:p w14:paraId="0AB87902">
      <w:pPr>
        <w:rPr>
          <w:rFonts w:cstheme="minorHAnsi"/>
        </w:rPr>
      </w:pPr>
      <w:r>
        <w:rPr>
          <w:rFonts w:cstheme="minorHAnsi"/>
        </w:rPr>
        <w:t>Kulturno informativni centar Gospić, javna ustanova za kulturu u izvještajnom razdoblju nije imao davanja jamstva.</w:t>
      </w:r>
    </w:p>
    <w:p w14:paraId="25961BE2">
      <w:pPr>
        <w:rPr>
          <w:rFonts w:cstheme="minorHAnsi"/>
          <w:b/>
          <w:bCs/>
        </w:rPr>
      </w:pPr>
    </w:p>
    <w:p w14:paraId="32E8DA8A">
      <w:pPr>
        <w:rPr>
          <w:rFonts w:cstheme="minorHAnsi"/>
          <w:b/>
          <w:bCs/>
        </w:rPr>
      </w:pPr>
    </w:p>
    <w:p w14:paraId="21AB3C9F">
      <w:pPr>
        <w:rPr>
          <w:rFonts w:cstheme="minorHAnsi"/>
          <w:b/>
          <w:bCs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6019360"/>
      <w:docPartObj>
        <w:docPartGallery w:val="autotext"/>
      </w:docPartObj>
    </w:sdtPr>
    <w:sdtContent>
      <w:p w14:paraId="313E0730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C3412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6FBFE">
    <w:pPr>
      <w:pStyle w:val="6"/>
    </w:pPr>
  </w:p>
  <w:p w14:paraId="1A31BBAF">
    <w:pPr>
      <w:pStyle w:val="6"/>
    </w:pPr>
  </w:p>
  <w:p w14:paraId="08C1630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6C623"/>
    <w:multiLevelType w:val="singleLevel"/>
    <w:tmpl w:val="90A6C62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D2C7CE3"/>
    <w:multiLevelType w:val="multilevel"/>
    <w:tmpl w:val="0D2C7CE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6FD35D1"/>
    <w:multiLevelType w:val="multilevel"/>
    <w:tmpl w:val="36FD35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upperRoman"/>
      <w:lvlText w:val="%2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01A6A3D"/>
    <w:multiLevelType w:val="multilevel"/>
    <w:tmpl w:val="401A6A3D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459F335E"/>
    <w:multiLevelType w:val="multilevel"/>
    <w:tmpl w:val="459F335E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A484B"/>
    <w:multiLevelType w:val="multilevel"/>
    <w:tmpl w:val="558A484B"/>
    <w:lvl w:ilvl="0" w:tentative="0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6">
    <w:nsid w:val="5D3E52DE"/>
    <w:multiLevelType w:val="multilevel"/>
    <w:tmpl w:val="5D3E52D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AD71523"/>
    <w:multiLevelType w:val="multilevel"/>
    <w:tmpl w:val="6AD715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71"/>
    <w:rsid w:val="000156BF"/>
    <w:rsid w:val="000342FB"/>
    <w:rsid w:val="00045EC5"/>
    <w:rsid w:val="000511B0"/>
    <w:rsid w:val="000531D9"/>
    <w:rsid w:val="00066B81"/>
    <w:rsid w:val="00075D76"/>
    <w:rsid w:val="000901AA"/>
    <w:rsid w:val="0009251E"/>
    <w:rsid w:val="00094671"/>
    <w:rsid w:val="000A66F4"/>
    <w:rsid w:val="000A67B8"/>
    <w:rsid w:val="000B777F"/>
    <w:rsid w:val="000C19FA"/>
    <w:rsid w:val="000C2914"/>
    <w:rsid w:val="000C39E0"/>
    <w:rsid w:val="000D25F9"/>
    <w:rsid w:val="000F08AF"/>
    <w:rsid w:val="000F1D60"/>
    <w:rsid w:val="00107616"/>
    <w:rsid w:val="00107DFE"/>
    <w:rsid w:val="0012394C"/>
    <w:rsid w:val="00142935"/>
    <w:rsid w:val="00144548"/>
    <w:rsid w:val="0014463B"/>
    <w:rsid w:val="00163BBD"/>
    <w:rsid w:val="00164C21"/>
    <w:rsid w:val="00170C72"/>
    <w:rsid w:val="0018461A"/>
    <w:rsid w:val="001A6095"/>
    <w:rsid w:val="001B131B"/>
    <w:rsid w:val="001D2660"/>
    <w:rsid w:val="001D4353"/>
    <w:rsid w:val="001D75CB"/>
    <w:rsid w:val="001E2F39"/>
    <w:rsid w:val="00206B78"/>
    <w:rsid w:val="00245595"/>
    <w:rsid w:val="002625FB"/>
    <w:rsid w:val="00263B76"/>
    <w:rsid w:val="00264FDF"/>
    <w:rsid w:val="002669B9"/>
    <w:rsid w:val="00272838"/>
    <w:rsid w:val="0028683C"/>
    <w:rsid w:val="002B188C"/>
    <w:rsid w:val="002B7C60"/>
    <w:rsid w:val="002C3FFE"/>
    <w:rsid w:val="002C69D5"/>
    <w:rsid w:val="002E2909"/>
    <w:rsid w:val="003209C6"/>
    <w:rsid w:val="0032530A"/>
    <w:rsid w:val="0035468A"/>
    <w:rsid w:val="003B0264"/>
    <w:rsid w:val="003B4064"/>
    <w:rsid w:val="003F0057"/>
    <w:rsid w:val="003F2420"/>
    <w:rsid w:val="00404CAC"/>
    <w:rsid w:val="00413730"/>
    <w:rsid w:val="00420F76"/>
    <w:rsid w:val="00431021"/>
    <w:rsid w:val="00431232"/>
    <w:rsid w:val="00431BAC"/>
    <w:rsid w:val="004424CA"/>
    <w:rsid w:val="00444B51"/>
    <w:rsid w:val="00450F5C"/>
    <w:rsid w:val="00452A7E"/>
    <w:rsid w:val="00461C07"/>
    <w:rsid w:val="00463B8F"/>
    <w:rsid w:val="00464B21"/>
    <w:rsid w:val="00467A19"/>
    <w:rsid w:val="004A4D56"/>
    <w:rsid w:val="004B54F5"/>
    <w:rsid w:val="004C761B"/>
    <w:rsid w:val="004E516B"/>
    <w:rsid w:val="00517B35"/>
    <w:rsid w:val="005442C9"/>
    <w:rsid w:val="00545FAB"/>
    <w:rsid w:val="0054624B"/>
    <w:rsid w:val="00567746"/>
    <w:rsid w:val="00576BBC"/>
    <w:rsid w:val="00591265"/>
    <w:rsid w:val="005A13E7"/>
    <w:rsid w:val="005B213E"/>
    <w:rsid w:val="005B4381"/>
    <w:rsid w:val="005D7F04"/>
    <w:rsid w:val="005E2D5F"/>
    <w:rsid w:val="006277F7"/>
    <w:rsid w:val="006307E9"/>
    <w:rsid w:val="00637387"/>
    <w:rsid w:val="00670A6B"/>
    <w:rsid w:val="00676211"/>
    <w:rsid w:val="00676C88"/>
    <w:rsid w:val="006948A5"/>
    <w:rsid w:val="006F606F"/>
    <w:rsid w:val="00710EF8"/>
    <w:rsid w:val="00721428"/>
    <w:rsid w:val="00754ACB"/>
    <w:rsid w:val="0076028C"/>
    <w:rsid w:val="007801A0"/>
    <w:rsid w:val="007864D0"/>
    <w:rsid w:val="00790D12"/>
    <w:rsid w:val="0079467C"/>
    <w:rsid w:val="007949BC"/>
    <w:rsid w:val="00795AFB"/>
    <w:rsid w:val="007A1405"/>
    <w:rsid w:val="007B1EFA"/>
    <w:rsid w:val="007B67BB"/>
    <w:rsid w:val="007D0484"/>
    <w:rsid w:val="0081275A"/>
    <w:rsid w:val="0081320A"/>
    <w:rsid w:val="00826850"/>
    <w:rsid w:val="00835974"/>
    <w:rsid w:val="008434FE"/>
    <w:rsid w:val="00845E67"/>
    <w:rsid w:val="00857181"/>
    <w:rsid w:val="008847A6"/>
    <w:rsid w:val="0088589E"/>
    <w:rsid w:val="008936EA"/>
    <w:rsid w:val="008A5DAA"/>
    <w:rsid w:val="008B1371"/>
    <w:rsid w:val="008B6BE7"/>
    <w:rsid w:val="008C478B"/>
    <w:rsid w:val="008E0A53"/>
    <w:rsid w:val="00913F47"/>
    <w:rsid w:val="00940F1D"/>
    <w:rsid w:val="00963287"/>
    <w:rsid w:val="0098708A"/>
    <w:rsid w:val="00992634"/>
    <w:rsid w:val="00997208"/>
    <w:rsid w:val="009A0C32"/>
    <w:rsid w:val="009C7006"/>
    <w:rsid w:val="009E4B11"/>
    <w:rsid w:val="009F3FE0"/>
    <w:rsid w:val="00A04DD7"/>
    <w:rsid w:val="00A06BFA"/>
    <w:rsid w:val="00A126AC"/>
    <w:rsid w:val="00A21082"/>
    <w:rsid w:val="00A2584E"/>
    <w:rsid w:val="00A31D9F"/>
    <w:rsid w:val="00A33CA8"/>
    <w:rsid w:val="00A47E8F"/>
    <w:rsid w:val="00A5403B"/>
    <w:rsid w:val="00A75867"/>
    <w:rsid w:val="00A831D4"/>
    <w:rsid w:val="00A83AD3"/>
    <w:rsid w:val="00A8488C"/>
    <w:rsid w:val="00AA2090"/>
    <w:rsid w:val="00AC331C"/>
    <w:rsid w:val="00AC5E21"/>
    <w:rsid w:val="00AD3270"/>
    <w:rsid w:val="00AF5493"/>
    <w:rsid w:val="00B00F35"/>
    <w:rsid w:val="00B15781"/>
    <w:rsid w:val="00B17EF9"/>
    <w:rsid w:val="00B20C19"/>
    <w:rsid w:val="00B418B9"/>
    <w:rsid w:val="00B550A2"/>
    <w:rsid w:val="00B56654"/>
    <w:rsid w:val="00B707A9"/>
    <w:rsid w:val="00B83E28"/>
    <w:rsid w:val="00BA28FC"/>
    <w:rsid w:val="00BA628C"/>
    <w:rsid w:val="00BC09EF"/>
    <w:rsid w:val="00BC4FF8"/>
    <w:rsid w:val="00BD56C0"/>
    <w:rsid w:val="00BE257C"/>
    <w:rsid w:val="00BE326D"/>
    <w:rsid w:val="00BE56D2"/>
    <w:rsid w:val="00BE7350"/>
    <w:rsid w:val="00BF181E"/>
    <w:rsid w:val="00BF4C7F"/>
    <w:rsid w:val="00BF72AA"/>
    <w:rsid w:val="00BF7EEF"/>
    <w:rsid w:val="00C13F7B"/>
    <w:rsid w:val="00C14C5D"/>
    <w:rsid w:val="00C25F4E"/>
    <w:rsid w:val="00C36708"/>
    <w:rsid w:val="00C57DFF"/>
    <w:rsid w:val="00C8523A"/>
    <w:rsid w:val="00CC6C06"/>
    <w:rsid w:val="00CE0C24"/>
    <w:rsid w:val="00CF5244"/>
    <w:rsid w:val="00D30F74"/>
    <w:rsid w:val="00D41BC9"/>
    <w:rsid w:val="00D473FC"/>
    <w:rsid w:val="00D764D1"/>
    <w:rsid w:val="00D83389"/>
    <w:rsid w:val="00D95386"/>
    <w:rsid w:val="00DA0CC7"/>
    <w:rsid w:val="00DD4B2C"/>
    <w:rsid w:val="00DD7DBA"/>
    <w:rsid w:val="00DE49A2"/>
    <w:rsid w:val="00DF649A"/>
    <w:rsid w:val="00DF7C08"/>
    <w:rsid w:val="00E009A9"/>
    <w:rsid w:val="00E02171"/>
    <w:rsid w:val="00E23012"/>
    <w:rsid w:val="00E243D8"/>
    <w:rsid w:val="00E274A3"/>
    <w:rsid w:val="00E71C8F"/>
    <w:rsid w:val="00E758DD"/>
    <w:rsid w:val="00EA1406"/>
    <w:rsid w:val="00EC45E5"/>
    <w:rsid w:val="00ED3674"/>
    <w:rsid w:val="00ED7066"/>
    <w:rsid w:val="00EF7F8F"/>
    <w:rsid w:val="00F10D50"/>
    <w:rsid w:val="00F167B7"/>
    <w:rsid w:val="00F17F42"/>
    <w:rsid w:val="00F37E99"/>
    <w:rsid w:val="00F441C8"/>
    <w:rsid w:val="00F441EE"/>
    <w:rsid w:val="00F508D6"/>
    <w:rsid w:val="00F679B4"/>
    <w:rsid w:val="00F877BB"/>
    <w:rsid w:val="00F902B3"/>
    <w:rsid w:val="00F92CEE"/>
    <w:rsid w:val="00FD12CF"/>
    <w:rsid w:val="00FD680B"/>
    <w:rsid w:val="00FE49B8"/>
    <w:rsid w:val="00FE4A22"/>
    <w:rsid w:val="00FE5828"/>
    <w:rsid w:val="02D732FC"/>
    <w:rsid w:val="031D426D"/>
    <w:rsid w:val="08A631DD"/>
    <w:rsid w:val="0D5F6090"/>
    <w:rsid w:val="1C541A88"/>
    <w:rsid w:val="32BD1920"/>
    <w:rsid w:val="34E844E6"/>
    <w:rsid w:val="3D77535C"/>
    <w:rsid w:val="3ECA02CE"/>
    <w:rsid w:val="437B6BC2"/>
    <w:rsid w:val="56102CF1"/>
    <w:rsid w:val="5A060D2F"/>
    <w:rsid w:val="5A476D78"/>
    <w:rsid w:val="61D46A88"/>
    <w:rsid w:val="635D02AC"/>
    <w:rsid w:val="64FD43F4"/>
    <w:rsid w:val="651227A4"/>
    <w:rsid w:val="6BFD0B0A"/>
    <w:rsid w:val="71E60600"/>
    <w:rsid w:val="73136AD4"/>
    <w:rsid w:val="73553622"/>
    <w:rsid w:val="739A6F84"/>
    <w:rsid w:val="756E1C38"/>
    <w:rsid w:val="7766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5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Zaglavlje Char"/>
    <w:basedOn w:val="2"/>
    <w:link w:val="6"/>
    <w:qFormat/>
    <w:uiPriority w:val="99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Podnožje Char"/>
    <w:basedOn w:val="2"/>
    <w:link w:val="5"/>
    <w:uiPriority w:val="99"/>
    <w:rPr>
      <w:rFonts w:asciiTheme="minorHAnsi" w:hAnsiTheme="minorHAnsi" w:eastAsiaTheme="minorEastAsia" w:cstheme="minorBidi"/>
      <w:sz w:val="22"/>
      <w:szCs w:val="22"/>
    </w:rPr>
  </w:style>
  <w:style w:type="table" w:customStyle="1" w:styleId="14">
    <w:name w:val="Plain Table 3"/>
    <w:basedOn w:val="3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paragraph" w:customStyle="1" w:styleId="15">
    <w:name w:val="Opis slike1"/>
    <w:basedOn w:val="1"/>
    <w:next w:val="1"/>
    <w:semiHidden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color w:val="4472C4"/>
      <w:sz w:val="24"/>
      <w:szCs w:val="24"/>
    </w:rPr>
  </w:style>
  <w:style w:type="table" w:customStyle="1" w:styleId="16">
    <w:name w:val="List Table 2 Accent 1"/>
    <w:basedOn w:val="3"/>
    <w:uiPriority w:val="47"/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7">
    <w:name w:val="Grid Table 5 Dark"/>
    <w:basedOn w:val="3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18">
    <w:name w:val="Grid Table 5 Dark Accent 1"/>
    <w:basedOn w:val="3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19">
    <w:name w:val="List Table 7 Colorful Accent 5"/>
    <w:basedOn w:val="3"/>
    <w:uiPriority w:val="52"/>
    <w:rPr>
      <w:color w:val="31859C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0">
    <w:name w:val="Grid Table 5 Dark Accent 5"/>
    <w:basedOn w:val="3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21">
    <w:name w:val="Grid Table 4 Accent 1"/>
    <w:basedOn w:val="3"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chart" Target="charts/chart4.xml"/><Relationship Id="rId11" Type="http://schemas.openxmlformats.org/officeDocument/2006/relationships/image" Target="media/image1.emf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77063283756197"/>
          <c:y val="0.14718253968254"/>
          <c:w val="0.670812190142899"/>
          <c:h val="0.6699865641794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2024.godina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List1!$A$2:$A$5</c:f>
              <c:strCache>
                <c:ptCount val="2"/>
                <c:pt idx="0">
                  <c:v>Prihodi poslovanja</c:v>
                </c:pt>
                <c:pt idx="1">
                  <c:v>Rashodi poslovanja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363141.46</c:v>
                </c:pt>
                <c:pt idx="1">
                  <c:v>378347.44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 godina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List1!$A$2:$A$5</c:f>
              <c:strCache>
                <c:ptCount val="2"/>
                <c:pt idx="0">
                  <c:v>Prihodi poslovanja</c:v>
                </c:pt>
                <c:pt idx="1">
                  <c:v>Rashodi poslovanja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432226.33</c:v>
                </c:pt>
                <c:pt idx="1">
                  <c:v>438603.33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7321008"/>
        <c:axId val="987319568"/>
      </c:barChart>
      <c:catAx>
        <c:axId val="98732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7319568"/>
        <c:crosses val="autoZero"/>
        <c:auto val="1"/>
        <c:lblAlgn val="ctr"/>
        <c:lblOffset val="100"/>
        <c:noMultiLvlLbl val="0"/>
      </c:catAx>
      <c:valAx>
        <c:axId val="98731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7321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f284ba4-ff42-48e6-b849-20e998338a1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delete val="1"/>
          </c:dLbls>
          <c:cat>
            <c:strRef>
              <c:f>List1!$A$2:$A$5</c:f>
              <c:strCache>
                <c:ptCount val="4"/>
                <c:pt idx="0">
                  <c:v>63 Pomoći iz inozemstva i od subjekata unutar općeg proračuna</c:v>
                </c:pt>
                <c:pt idx="1">
                  <c:v>64 Prihodi od imovine</c:v>
                </c:pt>
                <c:pt idx="2">
                  <c:v>66 Prihodi od prodaje proizvoda te pruženih usluga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19895.97</c:v>
                </c:pt>
                <c:pt idx="1">
                  <c:v>2.63</c:v>
                </c:pt>
                <c:pt idx="2">
                  <c:v>61193.62</c:v>
                </c:pt>
                <c:pt idx="3">
                  <c:v>282049.24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delete val="1"/>
          </c:dLbls>
          <c:cat>
            <c:strRef>
              <c:f>List1!$A$2:$A$5</c:f>
              <c:strCache>
                <c:ptCount val="4"/>
                <c:pt idx="0">
                  <c:v>63 Pomoći iz inozemstva i od subjekata unutar općeg proračuna</c:v>
                </c:pt>
                <c:pt idx="1">
                  <c:v>64 Prihodi od imovine</c:v>
                </c:pt>
                <c:pt idx="2">
                  <c:v>66 Prihodi od prodaje proizvoda te pruženih usluga</c:v>
                </c:pt>
                <c:pt idx="3">
                  <c:v>67 Prihodi iz nadležnog proračuna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20870</c:v>
                </c:pt>
                <c:pt idx="1">
                  <c:v>1</c:v>
                </c:pt>
                <c:pt idx="2">
                  <c:v>66740</c:v>
                </c:pt>
                <c:pt idx="3" c:formatCode="#,##0.00">
                  <c:v>344615.33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1672624"/>
        <c:axId val="1231673584"/>
      </c:barChart>
      <c:catAx>
        <c:axId val="123167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31673584"/>
        <c:crosses val="autoZero"/>
        <c:auto val="1"/>
        <c:lblAlgn val="ctr"/>
        <c:lblOffset val="100"/>
        <c:noMultiLvlLbl val="0"/>
      </c:catAx>
      <c:valAx>
        <c:axId val="1231673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3167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317ed46-83e2-49e5-b080-92066bf070e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List1!$A$2:$A$5</c:f>
              <c:strCache>
                <c:ptCount val="4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42 Rashodi za nabavu nefinancijske imovine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264736.71</c:v>
                </c:pt>
                <c:pt idx="1">
                  <c:v>158874.32</c:v>
                </c:pt>
                <c:pt idx="2">
                  <c:v>657.86</c:v>
                </c:pt>
                <c:pt idx="3">
                  <c:v>2140.6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fdd378e-5504-44ee-8484-2580e467a40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Kulturne</a:t>
            </a:r>
            <a:r>
              <a:rPr lang="hr-HR" baseline="0"/>
              <a:t> i zabavne aktivnosti</a:t>
            </a:r>
            <a:endParaRPr lang="hr-HR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Broj planiranih aktivnosti</c:v>
                </c:pt>
                <c:pt idx="1">
                  <c:v>Broj organiziranih kulturnih i zabavnih aktivnosti</c:v>
                </c:pt>
                <c:pt idx="2">
                  <c:v>Broj posjetitelja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24</c:v>
                </c:pt>
                <c:pt idx="1">
                  <c:v>14</c:v>
                </c:pt>
                <c:pt idx="2">
                  <c:v>1750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delete val="1"/>
          </c:dLbls>
          <c:cat>
            <c:strRef>
              <c:f>List1!$A$2:$A$4</c:f>
              <c:strCache>
                <c:ptCount val="3"/>
                <c:pt idx="0">
                  <c:v>Broj planiranih aktivnosti</c:v>
                </c:pt>
                <c:pt idx="1">
                  <c:v>Broj organiziranih kulturnih i zabavnih aktivnosti</c:v>
                </c:pt>
                <c:pt idx="2">
                  <c:v>Broj posjetitelja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24</c:v>
                </c:pt>
                <c:pt idx="1">
                  <c:v>15</c:v>
                </c:pt>
                <c:pt idx="2">
                  <c:v>2350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113888288"/>
        <c:axId val="113875808"/>
      </c:barChart>
      <c:catAx>
        <c:axId val="1138882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3875808"/>
        <c:crosses val="autoZero"/>
        <c:auto val="1"/>
        <c:lblAlgn val="ctr"/>
        <c:lblOffset val="100"/>
        <c:noMultiLvlLbl val="0"/>
      </c:catAx>
      <c:valAx>
        <c:axId val="11387580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388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73289bd-6552-4477-a2d2-266b8f86d60d}"/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4B4D-F6B2-4BD0-8164-EA3609A13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24</Pages>
  <Words>4811</Words>
  <Characters>27424</Characters>
  <Lines>228</Lines>
  <Paragraphs>64</Paragraphs>
  <TotalTime>13</TotalTime>
  <ScaleCrop>false</ScaleCrop>
  <LinksUpToDate>false</LinksUpToDate>
  <CharactersWithSpaces>32171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2026-03-12T13:30:00Z</dcterms:created>
  <dc:creator>Racunovodstvo</dc:creator>
  <cp:lastModifiedBy>Niđo Radosevic</cp:lastModifiedBy>
  <cp:lastPrinted>2026-03-12T13:29:00Z</cp:lastPrinted>
  <dcterms:modified xsi:type="dcterms:W3CDTF">2026-03-26T07:38:43Z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2A78B66321D24542A4DD8CAAAEF3D3A0_13</vt:lpwstr>
  </property>
</Properties>
</file>